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2293E" w14:textId="50326A11" w:rsidR="001433D4" w:rsidRDefault="00C05D27" w:rsidP="00C05D27">
      <w:pPr>
        <w:pBdr>
          <w:top w:val="single" w:sz="6" w:space="1" w:color="auto"/>
          <w:bottom w:val="single" w:sz="6" w:space="2" w:color="auto"/>
        </w:pBdr>
        <w:tabs>
          <w:tab w:val="left" w:pos="180"/>
          <w:tab w:val="left" w:pos="5220"/>
        </w:tabs>
        <w:ind w:left="90"/>
      </w:pPr>
      <w:r>
        <w:rPr>
          <w:sz w:val="22"/>
        </w:rPr>
        <w:tab/>
      </w:r>
      <w:r w:rsidR="002076E4">
        <w:rPr>
          <w:sz w:val="22"/>
        </w:rPr>
        <w:t>November</w:t>
      </w:r>
      <w:r w:rsidR="00B53665">
        <w:rPr>
          <w:sz w:val="22"/>
        </w:rPr>
        <w:t xml:space="preserve"> 2024</w:t>
      </w:r>
      <w:r w:rsidR="001433D4">
        <w:tab/>
      </w:r>
      <w:r w:rsidR="001433D4" w:rsidRPr="00B53E79">
        <w:rPr>
          <w:color w:val="175676" w:themeColor="accent2"/>
          <w:sz w:val="22"/>
        </w:rPr>
        <w:t>Advising Congress on Medicaid and CHIP Policy</w:t>
      </w:r>
    </w:p>
    <w:p w14:paraId="28F537AB" w14:textId="114BF0DB" w:rsidR="00B53665" w:rsidRPr="00EB3046" w:rsidRDefault="00B53665" w:rsidP="00B53665">
      <w:pPr>
        <w:pStyle w:val="Title"/>
      </w:pPr>
      <w:r>
        <w:t xml:space="preserve">State Reported </w:t>
      </w:r>
      <w:r w:rsidR="00CA24B4">
        <w:t xml:space="preserve">Medicaid </w:t>
      </w:r>
      <w:r>
        <w:t>Unwinding Data</w:t>
      </w:r>
    </w:p>
    <w:p w14:paraId="3CD2E332" w14:textId="41860FF1" w:rsidR="00273F83" w:rsidRDefault="003169CF" w:rsidP="003169CF">
      <w:pPr>
        <w:spacing w:after="0"/>
      </w:pPr>
      <w:r>
        <w:t>State are required to collect and report to</w:t>
      </w:r>
      <w:r w:rsidRPr="00C950F8" w:rsidDel="00196E66">
        <w:t xml:space="preserve"> </w:t>
      </w:r>
      <w:r w:rsidDel="00196E66">
        <w:t xml:space="preserve">the Centers for Medicare &amp; Medicaid Services (CMS) </w:t>
      </w:r>
      <w:r>
        <w:t>metrics on eligibility and enrollment processes</w:t>
      </w:r>
      <w:r w:rsidR="004E0659">
        <w:t xml:space="preserve"> for Medicaid and State Children’s Health Insurance Program (CHIP) enrollees</w:t>
      </w:r>
      <w:r>
        <w:t xml:space="preserve">. Beginning in 2013, states were required to collect and report monthly performance </w:t>
      </w:r>
      <w:r w:rsidRPr="0058229F">
        <w:t>indicators</w:t>
      </w:r>
      <w:r>
        <w:t>,</w:t>
      </w:r>
      <w:r w:rsidRPr="0058229F">
        <w:t xml:space="preserve"> includ</w:t>
      </w:r>
      <w:r w:rsidR="002E6607">
        <w:t>ing</w:t>
      </w:r>
      <w:r w:rsidRPr="0058229F">
        <w:t xml:space="preserve"> measures related to: call centers, applications, account transfers, renewals, enrollment, disenrollment, </w:t>
      </w:r>
      <w:r w:rsidR="002E6607">
        <w:t xml:space="preserve">and </w:t>
      </w:r>
      <w:r w:rsidRPr="0058229F">
        <w:t xml:space="preserve">pending applications (CMS </w:t>
      </w:r>
      <w:r>
        <w:t xml:space="preserve">2015, </w:t>
      </w:r>
      <w:r w:rsidRPr="0058229F">
        <w:t>2014).</w:t>
      </w:r>
      <w:r w:rsidR="0051471E">
        <w:t xml:space="preserve"> </w:t>
      </w:r>
    </w:p>
    <w:p w14:paraId="435F110F" w14:textId="77777777" w:rsidR="00273F83" w:rsidRDefault="00273F83" w:rsidP="003169CF">
      <w:pPr>
        <w:spacing w:after="0"/>
      </w:pPr>
    </w:p>
    <w:p w14:paraId="36BF5E27" w14:textId="5437363C" w:rsidR="003169CF" w:rsidRPr="004E0659" w:rsidRDefault="00BC6368" w:rsidP="003169CF">
      <w:pPr>
        <w:spacing w:after="0"/>
        <w:rPr>
          <w:rFonts w:ascii="Times New Roman" w:hAnsi="Times New Roman"/>
          <w:color w:val="auto"/>
          <w:sz w:val="24"/>
          <w:szCs w:val="24"/>
        </w:rPr>
      </w:pPr>
      <w:r>
        <w:t>Following the COVID-19 public health emergency (PHE),</w:t>
      </w:r>
      <w:r w:rsidR="004E0659">
        <w:t xml:space="preserve"> the Consolidated Appropriations Act of 2023 (CAA, P.L. 117-328) codified in statute the state requirement to collect and report monthly</w:t>
      </w:r>
      <w:r>
        <w:t xml:space="preserve"> performance metrics</w:t>
      </w:r>
      <w:r w:rsidR="004E0659">
        <w:t xml:space="preserve"> and other reporting metrics related to the unwinding of the PHE. During the PHE, </w:t>
      </w:r>
      <w:r w:rsidR="00904774">
        <w:t>t</w:t>
      </w:r>
      <w:r>
        <w:t xml:space="preserve">he Families First Coronavirus Response Act (FFCRA, P.L. 116-127) provided states with a temporary 6.2 percentage point increase in the federal medical assistance percentage (FMAP) if they met certain conditions, including a continuous coverage requirement for most Medicaid beneficiaries who were enrolled in the program as of or after March 18, 2020. </w:t>
      </w:r>
      <w:r w:rsidR="00FE236A">
        <w:t>Initially, t</w:t>
      </w:r>
      <w:r>
        <w:t>his requirement was tied to the end of the PHE</w:t>
      </w:r>
      <w:r w:rsidR="00FE236A" w:rsidRPr="00FE236A">
        <w:t xml:space="preserve"> </w:t>
      </w:r>
      <w:r w:rsidR="00FE236A">
        <w:t xml:space="preserve">and the FMAP increase was available through the end of the calendar quarter in which the PHE ended. </w:t>
      </w:r>
      <w:r w:rsidR="003169CF">
        <w:t xml:space="preserve">In 2023, Congress </w:t>
      </w:r>
      <w:r w:rsidR="00273F83">
        <w:t xml:space="preserve">enacted the </w:t>
      </w:r>
      <w:r w:rsidR="004E0659">
        <w:t xml:space="preserve">CAA, </w:t>
      </w:r>
      <w:r w:rsidR="00273F83">
        <w:t xml:space="preserve">which decoupled the end of the continuous coverage requirement from the </w:t>
      </w:r>
      <w:r w:rsidR="004E0659">
        <w:t>PHE. It also</w:t>
      </w:r>
      <w:r w:rsidR="00273F83">
        <w:t xml:space="preserve"> established </w:t>
      </w:r>
      <w:r w:rsidR="004E0659">
        <w:t xml:space="preserve">a </w:t>
      </w:r>
      <w:r w:rsidR="00273F83">
        <w:t xml:space="preserve">phase-down of the enhanced </w:t>
      </w:r>
      <w:r w:rsidR="004E0659">
        <w:t>FMAP</w:t>
      </w:r>
      <w:r w:rsidR="00273F83">
        <w:t xml:space="preserve"> over the remainder of 2023 for states that met certain renewal processing and data reporting requirements</w:t>
      </w:r>
      <w:r w:rsidR="003169CF">
        <w:t xml:space="preserve"> to track state progress on completing renewals for all Medicaid and </w:t>
      </w:r>
      <w:r w:rsidR="004E0659">
        <w:t>CHIP</w:t>
      </w:r>
      <w:r w:rsidR="003169CF">
        <w:t xml:space="preserve"> enrollees.</w:t>
      </w:r>
      <w:r w:rsidR="00273F83">
        <w:t xml:space="preserve"> </w:t>
      </w:r>
      <w:r w:rsidR="003169CF">
        <w:t xml:space="preserve">Further, it </w:t>
      </w:r>
      <w:r w:rsidR="003169CF" w:rsidRPr="00142174">
        <w:t>established penalties</w:t>
      </w:r>
      <w:r w:rsidR="003169CF">
        <w:t xml:space="preserve"> on the enhanced FMAP</w:t>
      </w:r>
      <w:r w:rsidR="003169CF" w:rsidRPr="00142174">
        <w:t xml:space="preserve"> if states did not report the required data</w:t>
      </w:r>
      <w:r w:rsidR="003169CF">
        <w:t xml:space="preserve"> (CMS 2023a)</w:t>
      </w:r>
      <w:r w:rsidR="003169CF" w:rsidRPr="00142174">
        <w:t>.</w:t>
      </w:r>
      <w:r w:rsidR="003169CF" w:rsidRPr="00F72DE1">
        <w:rPr>
          <w:vertAlign w:val="superscript"/>
        </w:rPr>
        <w:endnoteReference w:id="1"/>
      </w:r>
    </w:p>
    <w:p w14:paraId="668BC5F2" w14:textId="77777777" w:rsidR="003169CF" w:rsidRDefault="003169CF" w:rsidP="003169CF">
      <w:pPr>
        <w:spacing w:after="0"/>
      </w:pPr>
    </w:p>
    <w:p w14:paraId="1B35D592" w14:textId="17472D1E" w:rsidR="003169CF" w:rsidRDefault="003169CF" w:rsidP="003169CF">
      <w:r>
        <w:t>The CAA require</w:t>
      </w:r>
      <w:r w:rsidR="00273F83">
        <w:t>d that</w:t>
      </w:r>
      <w:r>
        <w:t xml:space="preserve"> s</w:t>
      </w:r>
      <w:r w:rsidRPr="00833104">
        <w:t xml:space="preserve">tates complete a report summarizing their monitoring plans, as well as </w:t>
      </w:r>
      <w:r w:rsidRPr="00DE584B">
        <w:t>submit baseline and monthly</w:t>
      </w:r>
      <w:r>
        <w:t xml:space="preserve"> unwinding</w:t>
      </w:r>
      <w:r w:rsidRPr="00DE584B">
        <w:t xml:space="preserve"> data</w:t>
      </w:r>
      <w:r>
        <w:t xml:space="preserve"> (beginning April 1, 2023)</w:t>
      </w:r>
      <w:r w:rsidRPr="00DE584B">
        <w:t xml:space="preserve"> for a minimum of 14 months on their post-</w:t>
      </w:r>
      <w:r>
        <w:t>PHE</w:t>
      </w:r>
      <w:r w:rsidR="0091480B">
        <w:t xml:space="preserve"> </w:t>
      </w:r>
      <w:r w:rsidRPr="00DE584B">
        <w:t>progress</w:t>
      </w:r>
      <w:r>
        <w:t xml:space="preserve"> (Appendix A) and the Secretary of the </w:t>
      </w:r>
      <w:r w:rsidR="001D71A0">
        <w:t xml:space="preserve">U.S. </w:t>
      </w:r>
      <w:r>
        <w:t xml:space="preserve">Department of Health and Human services to make these data publicly available. These reporting measures relied on existing data sources and data that states already collect to meet other </w:t>
      </w:r>
      <w:r w:rsidRPr="00833104">
        <w:t>reporting requirements</w:t>
      </w:r>
      <w:r>
        <w:t>, including the performance indicator data on eligibility and enrollment processes. The collection and public reporting of these metrics presented an opportunity for</w:t>
      </w:r>
      <w:r w:rsidRPr="00FC70FB">
        <w:t xml:space="preserve"> improved </w:t>
      </w:r>
      <w:r>
        <w:t xml:space="preserve">state </w:t>
      </w:r>
      <w:r w:rsidRPr="00FC70FB">
        <w:t>reporting</w:t>
      </w:r>
      <w:r w:rsidR="00273F83">
        <w:t>,</w:t>
      </w:r>
      <w:r w:rsidRPr="00FC70FB">
        <w:t xml:space="preserve"> </w:t>
      </w:r>
      <w:r w:rsidRPr="00B17101">
        <w:t>greater</w:t>
      </w:r>
      <w:r>
        <w:t xml:space="preserve"> transparency about renewal process</w:t>
      </w:r>
      <w:r w:rsidR="00273F83">
        <w:t>es,</w:t>
      </w:r>
      <w:r>
        <w:t xml:space="preserve"> </w:t>
      </w:r>
      <w:r w:rsidRPr="00FC70FB">
        <w:t xml:space="preserve">and transitions </w:t>
      </w:r>
      <w:r>
        <w:t xml:space="preserve">from Medicaid </w:t>
      </w:r>
      <w:r w:rsidRPr="00FC70FB">
        <w:t>to the federal</w:t>
      </w:r>
      <w:r>
        <w:t>ly facilitated</w:t>
      </w:r>
      <w:r w:rsidRPr="00FC70FB">
        <w:t xml:space="preserve"> </w:t>
      </w:r>
      <w:r w:rsidR="00B65EC9">
        <w:t xml:space="preserve">marketplace (FFM) </w:t>
      </w:r>
      <w:r w:rsidRPr="00FC70FB">
        <w:t>and state</w:t>
      </w:r>
      <w:r>
        <w:t>-</w:t>
      </w:r>
      <w:r w:rsidRPr="00FC70FB">
        <w:t xml:space="preserve">based </w:t>
      </w:r>
      <w:r>
        <w:t>marketplaces</w:t>
      </w:r>
      <w:r w:rsidR="00C07A93">
        <w:t xml:space="preserve"> (SBM)</w:t>
      </w:r>
      <w:r w:rsidRPr="00FC70FB">
        <w:t>.</w:t>
      </w:r>
      <w:r>
        <w:t xml:space="preserve"> The metrics included information related to renewals, disenrollment, call center operations, and transitions to marketplace coverage.</w:t>
      </w:r>
    </w:p>
    <w:p w14:paraId="69841031" w14:textId="59EB5A88" w:rsidR="00B53665" w:rsidRDefault="00273F83" w:rsidP="00B53665">
      <w:r>
        <w:t>On May 9, 2024, i</w:t>
      </w:r>
      <w:r w:rsidR="00B53665">
        <w:t xml:space="preserve">n preparation for the end of the 14-month unwinding period, CMS published guidance to states to extend some of the unwinding flexibilities through June 30, 2025 (CMS 2024a). The flexibilities include granting an extension to states to use time-limited </w:t>
      </w:r>
      <w:r w:rsidR="00B53665" w:rsidRPr="007A6FD2">
        <w:t>1902(e)(14)(A) waivers</w:t>
      </w:r>
      <w:r w:rsidR="00B53665">
        <w:t>. States used these waivers to implement strategies to increase ex parte renewal rates, support enrollees with renewal submissions</w:t>
      </w:r>
      <w:r w:rsidR="00C07A93">
        <w:t>,</w:t>
      </w:r>
      <w:r w:rsidR="00B53665">
        <w:t xml:space="preserve"> reduce procedural disenrollment</w:t>
      </w:r>
      <w:r w:rsidR="00C07A93">
        <w:t>s</w:t>
      </w:r>
      <w:r w:rsidR="00B53665">
        <w:t xml:space="preserve">, update contact information, and facilitate reinstatement of eligible individuals for procedural reasons. During the unwinding period, CMS approved 402 section </w:t>
      </w:r>
      <w:r w:rsidR="00B53665" w:rsidRPr="00E24650">
        <w:t>1902(e)(14)(A)</w:t>
      </w:r>
      <w:r w:rsidR="007932C8">
        <w:t xml:space="preserve"> waiver requests</w:t>
      </w:r>
      <w:r w:rsidR="00B53665" w:rsidRPr="00E24650">
        <w:t xml:space="preserve"> (CMS 2024b).</w:t>
      </w:r>
      <w:r w:rsidR="00B53665" w:rsidRPr="005B790F">
        <w:t xml:space="preserve"> </w:t>
      </w:r>
      <w:r w:rsidR="00510F2B">
        <w:t>An</w:t>
      </w:r>
      <w:r w:rsidR="00B53665">
        <w:t xml:space="preserve"> annual survey of state Medicaid and CHIP programs indicate</w:t>
      </w:r>
      <w:r w:rsidR="00510F2B">
        <w:t>s</w:t>
      </w:r>
      <w:r w:rsidR="00B53665">
        <w:t xml:space="preserve"> that most states are considering maintaining some of these flexibilities (Brooks et al. 2024).</w:t>
      </w:r>
    </w:p>
    <w:p w14:paraId="78558F44" w14:textId="46B432FA" w:rsidR="005D0B52" w:rsidRDefault="00B53665" w:rsidP="005D0B52">
      <w:r>
        <w:t>CMS published a State Health Official letter</w:t>
      </w:r>
      <w:r w:rsidR="00602457" w:rsidRPr="00602457">
        <w:t xml:space="preserve"> </w:t>
      </w:r>
      <w:r w:rsidR="00602457">
        <w:t>on May 30, 2024</w:t>
      </w:r>
      <w:r>
        <w:t>,</w:t>
      </w:r>
      <w:r w:rsidR="005D7964">
        <w:t xml:space="preserve"> describing expectations for ongoing reporting</w:t>
      </w:r>
      <w:r>
        <w:t xml:space="preserve"> guidelines </w:t>
      </w:r>
      <w:r w:rsidR="005D7964">
        <w:t>beyond the end of the unwinding period</w:t>
      </w:r>
      <w:r>
        <w:t xml:space="preserve">. CMS </w:t>
      </w:r>
      <w:r w:rsidR="004C1187">
        <w:t>not</w:t>
      </w:r>
      <w:r w:rsidR="00A24A57">
        <w:t>ed</w:t>
      </w:r>
      <w:r>
        <w:t xml:space="preserve"> that these data have been helpful to CMS</w:t>
      </w:r>
      <w:r w:rsidR="007C36AE">
        <w:t xml:space="preserve"> and the public</w:t>
      </w:r>
      <w:r>
        <w:t xml:space="preserve"> in identifying state challenges</w:t>
      </w:r>
      <w:r w:rsidR="007C36AE">
        <w:t>,</w:t>
      </w:r>
      <w:r>
        <w:t xml:space="preserve"> </w:t>
      </w:r>
      <w:r w:rsidR="007C36AE">
        <w:t xml:space="preserve">trends and outcomes, </w:t>
      </w:r>
      <w:r>
        <w:t xml:space="preserve">and improvements </w:t>
      </w:r>
      <w:r w:rsidR="007C36AE">
        <w:t>that may be</w:t>
      </w:r>
      <w:r>
        <w:t xml:space="preserve"> needed. Going forward, CMS expects states to continue to report certain measures, including those</w:t>
      </w:r>
      <w:r w:rsidR="007C36AE">
        <w:t xml:space="preserve"> that</w:t>
      </w:r>
      <w:r>
        <w:t xml:space="preserve"> monitor enrollment, renewals, and disenrollment</w:t>
      </w:r>
      <w:r w:rsidR="00B65EE3">
        <w:t xml:space="preserve"> (Appendix A)</w:t>
      </w:r>
      <w:r>
        <w:t>. However, states will not be expected to continue reporting data related to the processing of applications that were pending prior to the beginning of the unwinding period</w:t>
      </w:r>
      <w:r w:rsidR="005D0B52">
        <w:t xml:space="preserve">. Additionally, states are not required to continue reporting on SBM activities after </w:t>
      </w:r>
      <w:r w:rsidR="00300325">
        <w:t>they</w:t>
      </w:r>
      <w:r w:rsidR="005D0B52">
        <w:t xml:space="preserve"> complete all unwinding-related renewals (CMS 2024c).</w:t>
      </w:r>
    </w:p>
    <w:p w14:paraId="4F810FAF" w14:textId="3E393808" w:rsidR="00B53665" w:rsidRDefault="00B53665" w:rsidP="00B53665">
      <w:r>
        <w:lastRenderedPageBreak/>
        <w:t xml:space="preserve">In this brief, we </w:t>
      </w:r>
      <w:r w:rsidR="00B8673D">
        <w:t>summarize data</w:t>
      </w:r>
      <w:r>
        <w:t xml:space="preserve"> from </w:t>
      </w:r>
      <w:r w:rsidR="00300325">
        <w:t xml:space="preserve">the </w:t>
      </w:r>
      <w:r>
        <w:t>CMS unwinding reporting metrics</w:t>
      </w:r>
      <w:r w:rsidR="00300325">
        <w:t xml:space="preserve"> (April 2023 – June 2024) on </w:t>
      </w:r>
      <w:r>
        <w:t xml:space="preserve">enrollment, disenrollment, renewals, </w:t>
      </w:r>
      <w:r w:rsidR="00B8673D">
        <w:t xml:space="preserve">program </w:t>
      </w:r>
      <w:r>
        <w:t>operations, and federal</w:t>
      </w:r>
      <w:r w:rsidR="00B8673D">
        <w:t>ly</w:t>
      </w:r>
      <w:r>
        <w:t xml:space="preserve"> facilitated and </w:t>
      </w:r>
      <w:r w:rsidR="00F71D3A">
        <w:t>SBM</w:t>
      </w:r>
      <w:r>
        <w:t>.</w:t>
      </w:r>
      <w:r w:rsidR="00F5328A">
        <w:t xml:space="preserve"> </w:t>
      </w:r>
      <w:r w:rsidR="00C07A93">
        <w:t>T</w:t>
      </w:r>
      <w:r w:rsidR="002476A4">
        <w:t xml:space="preserve">hese data do not represent all </w:t>
      </w:r>
      <w:r w:rsidR="002E6055">
        <w:t xml:space="preserve">unwinding </w:t>
      </w:r>
      <w:r w:rsidR="002476A4">
        <w:t xml:space="preserve">renewals, as many states </w:t>
      </w:r>
      <w:r w:rsidR="002E6055">
        <w:t xml:space="preserve">received </w:t>
      </w:r>
      <w:r w:rsidR="002476A4">
        <w:t>CMS approval to extend their renewals beyond the 14-month renewal period</w:t>
      </w:r>
      <w:r w:rsidR="00DF4B67">
        <w:t xml:space="preserve"> ending in June 2024</w:t>
      </w:r>
      <w:r w:rsidR="002476A4">
        <w:t xml:space="preserve">. </w:t>
      </w:r>
      <w:r w:rsidR="00DF4B67">
        <w:t>For example, a</w:t>
      </w:r>
      <w:r w:rsidR="002476A4">
        <w:t xml:space="preserve"> number of states had to pause terminations or delay procedural disenrollments as part of their mitigation strategies to prevent inappropriate disenrollments. As of May 2024, 11 states anticipated completing the renewal process after June 2024, so the data summarized</w:t>
      </w:r>
      <w:r w:rsidR="002E6055">
        <w:t xml:space="preserve"> in this brief represent renewals completed through June 2024 (CMS 2024d). </w:t>
      </w:r>
    </w:p>
    <w:p w14:paraId="25439A32" w14:textId="77777777" w:rsidR="00B53665" w:rsidRDefault="00B53665" w:rsidP="00B53665">
      <w:pPr>
        <w:pStyle w:val="Heading1"/>
      </w:pPr>
      <w:r>
        <w:t>Key Unwinding Outcomes</w:t>
      </w:r>
    </w:p>
    <w:p w14:paraId="15014462" w14:textId="34FCF8EF" w:rsidR="00890224" w:rsidRDefault="00DF21E5" w:rsidP="00E9799B">
      <w:r>
        <w:t>State</w:t>
      </w:r>
      <w:r w:rsidR="005345BE">
        <w:t>-</w:t>
      </w:r>
      <w:r>
        <w:t xml:space="preserve">reported </w:t>
      </w:r>
      <w:r w:rsidR="00077D60">
        <w:t xml:space="preserve">Medicaid and CHIP </w:t>
      </w:r>
      <w:r w:rsidR="00B66574">
        <w:t xml:space="preserve">unwinding </w:t>
      </w:r>
      <w:r>
        <w:t xml:space="preserve">data </w:t>
      </w:r>
      <w:r w:rsidR="00B66574">
        <w:t>show that</w:t>
      </w:r>
      <w:r w:rsidR="00B66574" w:rsidRPr="008C08EF">
        <w:t xml:space="preserve"> 94.3 million individuals</w:t>
      </w:r>
      <w:r w:rsidR="00B66574" w:rsidRPr="004E5F81">
        <w:t xml:space="preserve"> were due for </w:t>
      </w:r>
      <w:r w:rsidR="00B66574" w:rsidRPr="008C08EF">
        <w:t>renewal across 5</w:t>
      </w:r>
      <w:r w:rsidR="00B66574">
        <w:t>0 states and the District of Columbia</w:t>
      </w:r>
      <w:r w:rsidR="00077D60">
        <w:t xml:space="preserve"> </w:t>
      </w:r>
      <w:r w:rsidR="005345BE">
        <w:t xml:space="preserve">over the 14-month unwinding period </w:t>
      </w:r>
      <w:r w:rsidR="00077D60">
        <w:t>(Table 1)</w:t>
      </w:r>
      <w:r w:rsidR="00B66574">
        <w:t xml:space="preserve">. Of these renewals, about 80 percent </w:t>
      </w:r>
      <w:r w:rsidR="00077D60">
        <w:t>were completed by the end of June</w:t>
      </w:r>
      <w:r w:rsidR="005345BE">
        <w:t>.</w:t>
      </w:r>
      <w:r w:rsidR="00890224">
        <w:t xml:space="preserve"> </w:t>
      </w:r>
      <w:r w:rsidR="005345BE">
        <w:t>O</w:t>
      </w:r>
      <w:r w:rsidR="00890224">
        <w:t xml:space="preserve">f those who had their coverage renewed, </w:t>
      </w:r>
      <w:r w:rsidR="005345BE">
        <w:t xml:space="preserve">states completed </w:t>
      </w:r>
      <w:r w:rsidR="00890224">
        <w:t>about 68.2 percent of the renewals as ex parte renewals. Further, across the unwinding period, the percent of renewals using ex parte increased (Figure 1).</w:t>
      </w:r>
    </w:p>
    <w:p w14:paraId="45EA787D" w14:textId="79EC4BB8" w:rsidR="00890224" w:rsidRDefault="005345BE" w:rsidP="00E9799B">
      <w:r>
        <w:t xml:space="preserve">Our </w:t>
      </w:r>
      <w:r w:rsidR="00890224">
        <w:t xml:space="preserve">summary </w:t>
      </w:r>
      <w:r>
        <w:t xml:space="preserve">of renewals over the unwinding period </w:t>
      </w:r>
      <w:r w:rsidR="00890224">
        <w:t>show</w:t>
      </w:r>
      <w:r w:rsidR="002E6607">
        <w:t>s</w:t>
      </w:r>
      <w:r w:rsidR="00890224">
        <w:t xml:space="preserve"> that </w:t>
      </w:r>
      <w:r>
        <w:t xml:space="preserve">states classified </w:t>
      </w:r>
      <w:r w:rsidR="00077D60">
        <w:t xml:space="preserve">about 20 percent </w:t>
      </w:r>
      <w:r w:rsidR="00890224">
        <w:t xml:space="preserve">of renewals </w:t>
      </w:r>
      <w:r>
        <w:t>as</w:t>
      </w:r>
      <w:r w:rsidR="00077D60">
        <w:t xml:space="preserve"> pending, which means they were not completed in the month that they were due</w:t>
      </w:r>
      <w:r>
        <w:t xml:space="preserve"> (Table 1)</w:t>
      </w:r>
      <w:r w:rsidR="00077D60">
        <w:t>.</w:t>
      </w:r>
      <w:r w:rsidR="00890224">
        <w:t xml:space="preserve"> These pending renewals can be </w:t>
      </w:r>
      <w:r>
        <w:t>attributed</w:t>
      </w:r>
      <w:r w:rsidR="00890224">
        <w:t xml:space="preserve"> to </w:t>
      </w:r>
      <w:r w:rsidR="002E6607">
        <w:t>several</w:t>
      </w:r>
      <w:r w:rsidR="00890224">
        <w:t xml:space="preserve"> reasons, including beneficiaries turning in forms late, states adopting mitigation strategies that paused disenrollments or held procedural disenrollments as pending while issues were resolved, and states having difficulties processing all renewals before the end of the month that they are due (CMS 2024e).</w:t>
      </w:r>
      <w:r w:rsidR="00077D60">
        <w:t xml:space="preserve"> </w:t>
      </w:r>
    </w:p>
    <w:p w14:paraId="1CEB7B11" w14:textId="73A42794" w:rsidR="00E9799B" w:rsidRDefault="00DF21E5" w:rsidP="00E9799B">
      <w:pPr>
        <w:pStyle w:val="Heading2"/>
      </w:pPr>
      <w:r>
        <w:t>Renewals and disenrollment</w:t>
      </w:r>
    </w:p>
    <w:p w14:paraId="3A34B461" w14:textId="64C27323" w:rsidR="00DF21E5" w:rsidRDefault="00DF21E5" w:rsidP="00DF21E5">
      <w:r>
        <w:t>F</w:t>
      </w:r>
      <w:r w:rsidRPr="004E5F81">
        <w:t>rom</w:t>
      </w:r>
      <w:r>
        <w:t xml:space="preserve"> April 2</w:t>
      </w:r>
      <w:r w:rsidRPr="004E5F81">
        <w:t xml:space="preserve">023 through </w:t>
      </w:r>
      <w:r>
        <w:t>June</w:t>
      </w:r>
      <w:r w:rsidRPr="004E5F81">
        <w:t xml:space="preserve"> 2024</w:t>
      </w:r>
      <w:r w:rsidRPr="008C08EF">
        <w:t xml:space="preserve">, </w:t>
      </w:r>
      <w:r w:rsidR="00962B89">
        <w:t xml:space="preserve">states reported </w:t>
      </w:r>
      <w:r w:rsidRPr="008C08EF">
        <w:t>94.3 million individuals</w:t>
      </w:r>
      <w:r w:rsidRPr="004E5F81">
        <w:t xml:space="preserve"> were due for </w:t>
      </w:r>
      <w:r w:rsidRPr="008C08EF">
        <w:t>renewal across the 5</w:t>
      </w:r>
      <w:r w:rsidR="005B6B2B">
        <w:t>0 states and the District of Columbia</w:t>
      </w:r>
      <w:r w:rsidRPr="008C08EF">
        <w:t xml:space="preserve"> (Table 1). During the unwinding</w:t>
      </w:r>
      <w:r>
        <w:t xml:space="preserve"> period</w:t>
      </w:r>
      <w:r w:rsidRPr="008C08EF">
        <w:t>, 58</w:t>
      </w:r>
      <w:r>
        <w:t>.4</w:t>
      </w:r>
      <w:r w:rsidRPr="008C08EF">
        <w:t xml:space="preserve"> percent of individuals were renewed, 22</w:t>
      </w:r>
      <w:r>
        <w:t>.0</w:t>
      </w:r>
      <w:r w:rsidRPr="008C08EF">
        <w:t xml:space="preserve"> percent had their coverage terminated, and </w:t>
      </w:r>
      <w:r>
        <w:t>19.6</w:t>
      </w:r>
      <w:r w:rsidRPr="008C08EF">
        <w:t xml:space="preserve"> percent </w:t>
      </w:r>
      <w:r>
        <w:t xml:space="preserve">of </w:t>
      </w:r>
      <w:r w:rsidRPr="008C08EF">
        <w:t>renewals</w:t>
      </w:r>
      <w:r>
        <w:t xml:space="preserve"> were still</w:t>
      </w:r>
      <w:r w:rsidRPr="008C08EF">
        <w:t xml:space="preserve"> pending </w:t>
      </w:r>
      <w:r>
        <w:t>as of June 2024</w:t>
      </w:r>
      <w:r w:rsidRPr="008C08EF">
        <w:t>.</w:t>
      </w:r>
      <w:r w:rsidR="00890224">
        <w:t xml:space="preserve"> </w:t>
      </w:r>
      <w:r w:rsidR="00E96BCE">
        <w:t>States</w:t>
      </w:r>
      <w:r>
        <w:t xml:space="preserve"> will continue</w:t>
      </w:r>
      <w:r w:rsidR="00E96BCE">
        <w:t xml:space="preserve"> to </w:t>
      </w:r>
      <w:r>
        <w:t>collect and report</w:t>
      </w:r>
      <w:r w:rsidR="00E96BCE">
        <w:t xml:space="preserve"> these data</w:t>
      </w:r>
      <w:r>
        <w:t xml:space="preserve"> after </w:t>
      </w:r>
      <w:r w:rsidR="00E96BCE">
        <w:t xml:space="preserve">the end of the </w:t>
      </w:r>
      <w:r>
        <w:t>unwinding period (CMS 2024c).</w:t>
      </w:r>
      <w:r w:rsidRPr="008C08EF">
        <w:t xml:space="preserve"> </w:t>
      </w:r>
    </w:p>
    <w:p w14:paraId="325352A9" w14:textId="1B7BDD49" w:rsidR="004515D0" w:rsidRDefault="00DF21E5" w:rsidP="00DF21E5">
      <w:r>
        <w:t>During this period,</w:t>
      </w:r>
      <w:r w:rsidR="00A775F5">
        <w:t xml:space="preserve"> </w:t>
      </w:r>
      <w:r w:rsidR="005B6B2B">
        <w:t xml:space="preserve">55.1 million individuals had their coverage renewed and </w:t>
      </w:r>
      <w:r w:rsidR="00A775F5">
        <w:t>20.7 million individuals had their coverage terminated</w:t>
      </w:r>
      <w:r w:rsidR="005B6B2B">
        <w:t xml:space="preserve"> (Table 1).</w:t>
      </w:r>
      <w:r w:rsidR="00781591">
        <w:t xml:space="preserve"> I</w:t>
      </w:r>
      <w:r w:rsidR="005B6B2B">
        <w:t xml:space="preserve">n comparison to state </w:t>
      </w:r>
      <w:r w:rsidR="004515D0">
        <w:t xml:space="preserve">Medicaid and CHIP </w:t>
      </w:r>
      <w:r w:rsidR="005B6B2B">
        <w:t xml:space="preserve">baseline enrollment </w:t>
      </w:r>
      <w:r w:rsidR="004515D0">
        <w:t>data</w:t>
      </w:r>
      <w:r w:rsidR="00781591">
        <w:t xml:space="preserve"> (calculated using state enrollment data the month prior to the state beginning redeterminations)</w:t>
      </w:r>
      <w:r w:rsidR="005B6B2B">
        <w:t xml:space="preserve">, </w:t>
      </w:r>
      <w:r w:rsidR="00B53665" w:rsidRPr="0039157D">
        <w:t xml:space="preserve">overall </w:t>
      </w:r>
      <w:r w:rsidR="00A775F5">
        <w:t xml:space="preserve">enrollment </w:t>
      </w:r>
      <w:r w:rsidR="00B53665" w:rsidRPr="0039157D">
        <w:t xml:space="preserve">decreased by </w:t>
      </w:r>
      <w:r w:rsidR="00B53665" w:rsidRPr="00B83378">
        <w:t xml:space="preserve">about </w:t>
      </w:r>
      <w:r w:rsidR="00114ACB">
        <w:t>14.9</w:t>
      </w:r>
      <w:r w:rsidR="00B53665" w:rsidRPr="00B83378">
        <w:t xml:space="preserve"> </w:t>
      </w:r>
      <w:r w:rsidR="00B53665" w:rsidRPr="00237287">
        <w:t>million (MACPAC 2024a, KFF 2024).</w:t>
      </w:r>
      <w:r w:rsidR="00076064">
        <w:rPr>
          <w:rStyle w:val="EndnoteReference"/>
        </w:rPr>
        <w:endnoteReference w:id="2"/>
      </w:r>
      <w:r w:rsidR="00B53665" w:rsidRPr="00237287">
        <w:t xml:space="preserve"> </w:t>
      </w:r>
      <w:r w:rsidR="00890224">
        <w:t xml:space="preserve">The overall number of individuals who had their coverage terminated differs from the overall </w:t>
      </w:r>
      <w:r w:rsidR="004515D0">
        <w:t>decrease in enrollment for several reasons. During this period, some may have newly applied for Medicaid coverage and others who had their coverage terminated may have re-enrolled during the 90-day reconsideration period or had their coverage reinstated.</w:t>
      </w:r>
      <w:r w:rsidR="004515D0" w:rsidRPr="0087750D">
        <w:rPr>
          <w:rStyle w:val="EndnoteReference"/>
        </w:rPr>
        <w:endnoteReference w:id="3"/>
      </w:r>
      <w:r w:rsidR="004515D0" w:rsidRPr="0087750D">
        <w:t xml:space="preserve"> </w:t>
      </w:r>
      <w:r w:rsidR="004515D0">
        <w:t xml:space="preserve">For example, CMS directed </w:t>
      </w:r>
      <w:r w:rsidR="004515D0" w:rsidRPr="0087750D">
        <w:t xml:space="preserve">the 29 states and the District of Columbia that were </w:t>
      </w:r>
      <w:r w:rsidR="004515D0">
        <w:t xml:space="preserve">erroneously </w:t>
      </w:r>
      <w:r w:rsidR="004515D0" w:rsidRPr="0087750D">
        <w:t>conducting ex parte renewals at the household level (instead of at the individual level as required)</w:t>
      </w:r>
      <w:r w:rsidR="004515D0">
        <w:t xml:space="preserve"> </w:t>
      </w:r>
      <w:r w:rsidR="004515D0" w:rsidRPr="0087750D">
        <w:t>to reinstate coverage for at least 500,000 individuals (CMS 2023</w:t>
      </w:r>
      <w:r w:rsidR="004515D0">
        <w:t>b</w:t>
      </w:r>
      <w:r w:rsidR="004515D0" w:rsidRPr="0087750D">
        <w:t>, 2023</w:t>
      </w:r>
      <w:r w:rsidR="004515D0">
        <w:t>c</w:t>
      </w:r>
      <w:r w:rsidR="004515D0" w:rsidRPr="0087750D">
        <w:t xml:space="preserve">). This ex parte issue was identified </w:t>
      </w:r>
      <w:r w:rsidR="00E3210E">
        <w:t>i</w:t>
      </w:r>
      <w:r w:rsidR="004515D0" w:rsidRPr="0087750D">
        <w:t>n August 2023</w:t>
      </w:r>
      <w:r w:rsidR="007C2184">
        <w:t>,</w:t>
      </w:r>
      <w:r w:rsidR="007C2184" w:rsidRPr="007C2184">
        <w:t xml:space="preserve"> </w:t>
      </w:r>
      <w:r w:rsidR="007C2184">
        <w:t>but reinstated coverage may not be accounted for in these unwinding data because states are not required to report these cases</w:t>
      </w:r>
      <w:r w:rsidR="004515D0">
        <w:t>.</w:t>
      </w:r>
      <w:r w:rsidR="004515D0">
        <w:rPr>
          <w:rStyle w:val="EndnoteReference"/>
        </w:rPr>
        <w:endnoteReference w:id="4"/>
      </w:r>
      <w:r w:rsidR="004515D0">
        <w:t xml:space="preserve"> </w:t>
      </w:r>
    </w:p>
    <w:p w14:paraId="1B4A5FC9" w14:textId="211879B6" w:rsidR="00E9799B" w:rsidRDefault="00C45A7E" w:rsidP="00DF21E5">
      <w:r>
        <w:t>Among</w:t>
      </w:r>
      <w:r w:rsidR="00D66798">
        <w:t xml:space="preserve"> </w:t>
      </w:r>
      <w:r w:rsidR="00156C0F">
        <w:t xml:space="preserve">those who underwent </w:t>
      </w:r>
      <w:r w:rsidR="00D66798">
        <w:t xml:space="preserve">renewal, </w:t>
      </w:r>
      <w:r>
        <w:t xml:space="preserve">states determined </w:t>
      </w:r>
      <w:r w:rsidR="00D66798">
        <w:t>about 6.9 percent of individuals ineligible for Medicaid</w:t>
      </w:r>
      <w:r w:rsidR="00156C0F">
        <w:t>.</w:t>
      </w:r>
      <w:r w:rsidR="00D66798">
        <w:t xml:space="preserve"> </w:t>
      </w:r>
      <w:r w:rsidR="00156C0F">
        <w:t>A</w:t>
      </w:r>
      <w:r w:rsidR="00D66798">
        <w:t xml:space="preserve">bout 15.1 percent </w:t>
      </w:r>
      <w:r w:rsidR="00156C0F">
        <w:t xml:space="preserve">were </w:t>
      </w:r>
      <w:r w:rsidR="00D66798">
        <w:t>procedurally disenrolled from Medicaid</w:t>
      </w:r>
      <w:r w:rsidR="003A42C7">
        <w:t xml:space="preserve"> because they did not complete the renewal process rather than being definitively determined ineligible (Tolbert et al. 2023)</w:t>
      </w:r>
      <w:r w:rsidR="00D66798">
        <w:t>.</w:t>
      </w:r>
      <w:r w:rsidR="003A42C7">
        <w:t xml:space="preserve"> </w:t>
      </w:r>
    </w:p>
    <w:p w14:paraId="44688790" w14:textId="2BE21054" w:rsidR="00B53665" w:rsidRDefault="00B53665" w:rsidP="00B53665">
      <w:pPr>
        <w:pStyle w:val="Caption"/>
      </w:pPr>
      <w:r w:rsidRPr="008C08EF">
        <w:rPr>
          <w:b/>
        </w:rPr>
        <w:lastRenderedPageBreak/>
        <w:t xml:space="preserve">TABLE 1. </w:t>
      </w:r>
      <w:r w:rsidRPr="008C08EF">
        <w:t>National Summary of</w:t>
      </w:r>
      <w:r w:rsidRPr="008B305E">
        <w:t xml:space="preserve"> Unwinding-related </w:t>
      </w:r>
      <w:r w:rsidR="004515D0">
        <w:t xml:space="preserve">Medicaid and CHIP </w:t>
      </w:r>
      <w:r w:rsidRPr="008B305E">
        <w:t xml:space="preserve">Renewals </w:t>
      </w:r>
      <w:r w:rsidR="00860274">
        <w:t xml:space="preserve">Over </w:t>
      </w:r>
      <w:r w:rsidR="00420428">
        <w:t>Unwinding</w:t>
      </w:r>
      <w:r w:rsidR="00860274">
        <w:t xml:space="preserve"> Reporting Period</w:t>
      </w:r>
      <w:r w:rsidR="00DF6A2E">
        <w:t xml:space="preserve">, </w:t>
      </w:r>
      <w:r w:rsidR="00DF6A2E" w:rsidRPr="00DF6A2E">
        <w:t>April 2023-</w:t>
      </w:r>
      <w:r w:rsidR="00DF6A2E">
        <w:t>June</w:t>
      </w:r>
      <w:r w:rsidR="00DF6A2E" w:rsidRPr="00DF6A2E">
        <w:t xml:space="preserve"> 2024</w:t>
      </w:r>
    </w:p>
    <w:tbl>
      <w:tblPr>
        <w:tblW w:w="9680" w:type="dxa"/>
        <w:tblInd w:w="-10" w:type="dxa"/>
        <w:tblCellMar>
          <w:top w:w="58" w:type="dxa"/>
          <w:left w:w="115" w:type="dxa"/>
          <w:bottom w:w="58" w:type="dxa"/>
          <w:right w:w="115" w:type="dxa"/>
        </w:tblCellMar>
        <w:tblLook w:val="04A0" w:firstRow="1" w:lastRow="0" w:firstColumn="1" w:lastColumn="0" w:noHBand="0" w:noVBand="1"/>
      </w:tblPr>
      <w:tblGrid>
        <w:gridCol w:w="4320"/>
        <w:gridCol w:w="1980"/>
        <w:gridCol w:w="3380"/>
      </w:tblGrid>
      <w:tr w:rsidR="006F32F1" w:rsidRPr="00567274" w14:paraId="0ED6EE37" w14:textId="77777777" w:rsidTr="006F32F1">
        <w:trPr>
          <w:trHeight w:val="372"/>
          <w:tblHeader/>
        </w:trPr>
        <w:tc>
          <w:tcPr>
            <w:tcW w:w="4320" w:type="dxa"/>
            <w:vMerge w:val="restart"/>
            <w:tcBorders>
              <w:top w:val="single" w:sz="8" w:space="0" w:color="CBD0D2"/>
              <w:left w:val="single" w:sz="8" w:space="0" w:color="CBD0D2"/>
              <w:bottom w:val="single" w:sz="8" w:space="0" w:color="CBD0D2"/>
              <w:right w:val="single" w:sz="8" w:space="0" w:color="CBD0D2"/>
            </w:tcBorders>
            <w:shd w:val="clear" w:color="000000" w:fill="40434B"/>
            <w:vAlign w:val="bottom"/>
            <w:hideMark/>
          </w:tcPr>
          <w:p w14:paraId="792571CE" w14:textId="77777777" w:rsidR="006F32F1" w:rsidRPr="00567274" w:rsidRDefault="006F32F1" w:rsidP="006F32F1">
            <w:pPr>
              <w:spacing w:after="0"/>
              <w:rPr>
                <w:rFonts w:eastAsia="Times New Roman" w:cs="Arial"/>
                <w:b/>
                <w:bCs/>
                <w:color w:val="FFFFFF"/>
              </w:rPr>
            </w:pPr>
            <w:r w:rsidRPr="00567274">
              <w:rPr>
                <w:rFonts w:eastAsia="Times New Roman" w:cs="Arial"/>
                <w:b/>
                <w:bCs/>
                <w:color w:val="FFFFFF"/>
              </w:rPr>
              <w:t>Reporting metric</w:t>
            </w:r>
          </w:p>
        </w:tc>
        <w:tc>
          <w:tcPr>
            <w:tcW w:w="5360" w:type="dxa"/>
            <w:gridSpan w:val="2"/>
            <w:tcBorders>
              <w:top w:val="single" w:sz="8" w:space="0" w:color="CBD0D2"/>
              <w:left w:val="nil"/>
              <w:right w:val="single" w:sz="8" w:space="0" w:color="CBD0D2"/>
            </w:tcBorders>
            <w:shd w:val="clear" w:color="000000" w:fill="40434B"/>
            <w:vAlign w:val="center"/>
            <w:hideMark/>
          </w:tcPr>
          <w:p w14:paraId="1232216F" w14:textId="77777777" w:rsidR="006F32F1" w:rsidRPr="00567274" w:rsidRDefault="006F32F1" w:rsidP="006A45CC">
            <w:pPr>
              <w:spacing w:after="0"/>
              <w:jc w:val="center"/>
              <w:rPr>
                <w:rFonts w:eastAsia="Times New Roman" w:cs="Arial"/>
                <w:b/>
                <w:bCs/>
                <w:color w:val="FFFFFF"/>
              </w:rPr>
            </w:pPr>
            <w:r>
              <w:rPr>
                <w:rFonts w:eastAsia="Times New Roman" w:cs="Arial"/>
                <w:b/>
                <w:bCs/>
                <w:color w:val="FFFFFF"/>
              </w:rPr>
              <w:t>April</w:t>
            </w:r>
            <w:r w:rsidRPr="00567274">
              <w:rPr>
                <w:rFonts w:eastAsia="Times New Roman" w:cs="Arial"/>
                <w:b/>
                <w:bCs/>
                <w:color w:val="FFFFFF"/>
              </w:rPr>
              <w:t xml:space="preserve"> 2023 to </w:t>
            </w:r>
            <w:r>
              <w:rPr>
                <w:rFonts w:eastAsia="Times New Roman" w:cs="Arial"/>
                <w:b/>
                <w:bCs/>
                <w:color w:val="FFFFFF"/>
              </w:rPr>
              <w:t>June</w:t>
            </w:r>
            <w:r w:rsidRPr="00567274">
              <w:rPr>
                <w:rFonts w:eastAsia="Times New Roman" w:cs="Arial"/>
                <w:b/>
                <w:bCs/>
                <w:color w:val="FFFFFF"/>
              </w:rPr>
              <w:t xml:space="preserve"> 2024</w:t>
            </w:r>
          </w:p>
          <w:p w14:paraId="2C8BEB84" w14:textId="28394FCE" w:rsidR="006F32F1" w:rsidRPr="00567274" w:rsidRDefault="006F32F1" w:rsidP="006A45CC">
            <w:pPr>
              <w:spacing w:after="0"/>
              <w:jc w:val="center"/>
              <w:rPr>
                <w:rFonts w:eastAsia="Times New Roman" w:cs="Arial"/>
                <w:b/>
                <w:bCs/>
                <w:color w:val="FFFFFF"/>
              </w:rPr>
            </w:pPr>
            <w:r w:rsidRPr="00567274">
              <w:rPr>
                <w:rFonts w:eastAsia="Times New Roman" w:cs="Arial"/>
                <w:b/>
                <w:bCs/>
                <w:color w:val="FFFFFF"/>
              </w:rPr>
              <w:t>(50 states and DC)</w:t>
            </w:r>
          </w:p>
        </w:tc>
      </w:tr>
      <w:tr w:rsidR="00B53665" w:rsidRPr="00567274" w14:paraId="1C225E35" w14:textId="77777777" w:rsidTr="006F32F1">
        <w:trPr>
          <w:trHeight w:val="276"/>
          <w:tblHeader/>
        </w:trPr>
        <w:tc>
          <w:tcPr>
            <w:tcW w:w="4320" w:type="dxa"/>
            <w:vMerge/>
            <w:tcBorders>
              <w:top w:val="single" w:sz="8" w:space="0" w:color="CBD0D2"/>
              <w:left w:val="single" w:sz="8" w:space="0" w:color="CBD0D2"/>
              <w:bottom w:val="single" w:sz="8" w:space="0" w:color="CBD0D2"/>
              <w:right w:val="single" w:sz="8" w:space="0" w:color="CBD0D2"/>
            </w:tcBorders>
            <w:vAlign w:val="center"/>
            <w:hideMark/>
          </w:tcPr>
          <w:p w14:paraId="5A3CFDEB" w14:textId="77777777" w:rsidR="00B53665" w:rsidRPr="00567274" w:rsidRDefault="00B53665" w:rsidP="006A45CC">
            <w:pPr>
              <w:spacing w:after="0"/>
              <w:rPr>
                <w:rFonts w:eastAsia="Times New Roman" w:cs="Arial"/>
                <w:b/>
                <w:bCs/>
                <w:color w:val="FFFFFF"/>
              </w:rPr>
            </w:pPr>
          </w:p>
        </w:tc>
        <w:tc>
          <w:tcPr>
            <w:tcW w:w="1980" w:type="dxa"/>
            <w:tcBorders>
              <w:top w:val="nil"/>
              <w:left w:val="nil"/>
              <w:bottom w:val="single" w:sz="8" w:space="0" w:color="CBD0D2"/>
              <w:right w:val="single" w:sz="8" w:space="0" w:color="CBD0D2"/>
            </w:tcBorders>
            <w:shd w:val="clear" w:color="000000" w:fill="008170"/>
            <w:vAlign w:val="center"/>
            <w:hideMark/>
          </w:tcPr>
          <w:p w14:paraId="70E5F423" w14:textId="77777777" w:rsidR="00B53665" w:rsidRPr="00567274" w:rsidRDefault="00B53665" w:rsidP="006A45CC">
            <w:pPr>
              <w:spacing w:after="0"/>
              <w:jc w:val="center"/>
              <w:rPr>
                <w:rFonts w:eastAsia="Times New Roman" w:cs="Arial"/>
                <w:b/>
                <w:bCs/>
                <w:color w:val="FFFFFF"/>
              </w:rPr>
            </w:pPr>
            <w:r w:rsidRPr="00567274">
              <w:rPr>
                <w:rFonts w:eastAsia="Times New Roman" w:cs="Arial"/>
                <w:b/>
                <w:bCs/>
                <w:color w:val="FFFFFF"/>
              </w:rPr>
              <w:t>Number</w:t>
            </w:r>
            <w:r>
              <w:rPr>
                <w:rFonts w:eastAsia="Times New Roman" w:cs="Arial"/>
                <w:b/>
                <w:bCs/>
                <w:color w:val="FFFFFF"/>
              </w:rPr>
              <w:t xml:space="preserve"> (millions)</w:t>
            </w:r>
          </w:p>
        </w:tc>
        <w:tc>
          <w:tcPr>
            <w:tcW w:w="3380" w:type="dxa"/>
            <w:tcBorders>
              <w:top w:val="nil"/>
              <w:left w:val="nil"/>
              <w:bottom w:val="single" w:sz="8" w:space="0" w:color="CBD0D2"/>
              <w:right w:val="single" w:sz="8" w:space="0" w:color="CBD0D2"/>
            </w:tcBorders>
            <w:shd w:val="clear" w:color="000000" w:fill="008170"/>
            <w:vAlign w:val="center"/>
            <w:hideMark/>
          </w:tcPr>
          <w:p w14:paraId="40D3E5C4" w14:textId="77777777" w:rsidR="00B53665" w:rsidRPr="00567274" w:rsidRDefault="00B53665" w:rsidP="006A45CC">
            <w:pPr>
              <w:spacing w:after="0"/>
              <w:jc w:val="center"/>
              <w:rPr>
                <w:rFonts w:eastAsia="Times New Roman" w:cs="Arial"/>
                <w:b/>
                <w:bCs/>
                <w:color w:val="FFFFFF"/>
              </w:rPr>
            </w:pPr>
            <w:r w:rsidRPr="00567274">
              <w:rPr>
                <w:rFonts w:eastAsia="Times New Roman" w:cs="Arial"/>
                <w:b/>
                <w:bCs/>
                <w:color w:val="FFFFFF"/>
              </w:rPr>
              <w:t>Percent</w:t>
            </w:r>
          </w:p>
        </w:tc>
      </w:tr>
      <w:tr w:rsidR="00B53665" w:rsidRPr="00567274" w14:paraId="28B54240" w14:textId="77777777" w:rsidTr="006F32F1">
        <w:trPr>
          <w:trHeight w:val="104"/>
        </w:trPr>
        <w:tc>
          <w:tcPr>
            <w:tcW w:w="4320" w:type="dxa"/>
            <w:tcBorders>
              <w:top w:val="nil"/>
              <w:left w:val="single" w:sz="8" w:space="0" w:color="CBD0D2"/>
              <w:bottom w:val="single" w:sz="8" w:space="0" w:color="CBD0D2"/>
              <w:right w:val="single" w:sz="8" w:space="0" w:color="CBD0D2"/>
            </w:tcBorders>
            <w:shd w:val="clear" w:color="auto" w:fill="auto"/>
            <w:vAlign w:val="center"/>
            <w:hideMark/>
          </w:tcPr>
          <w:p w14:paraId="6D84CE19" w14:textId="11347F1A" w:rsidR="00B53665" w:rsidRPr="006F32F1" w:rsidRDefault="00B53665" w:rsidP="006F32F1">
            <w:pPr>
              <w:spacing w:after="0"/>
              <w:rPr>
                <w:rFonts w:eastAsia="Times New Roman" w:cs="Arial"/>
                <w:b/>
                <w:bCs/>
                <w:color w:val="003461" w:themeColor="accent1"/>
              </w:rPr>
            </w:pPr>
            <w:r w:rsidRPr="006F32F1">
              <w:rPr>
                <w:rFonts w:eastAsia="Times New Roman" w:cs="Arial"/>
                <w:b/>
                <w:bCs/>
                <w:color w:val="003461" w:themeColor="accent1"/>
              </w:rPr>
              <w:t>Total renewals due</w:t>
            </w:r>
          </w:p>
        </w:tc>
        <w:tc>
          <w:tcPr>
            <w:tcW w:w="1980" w:type="dxa"/>
            <w:tcBorders>
              <w:top w:val="nil"/>
              <w:left w:val="nil"/>
              <w:bottom w:val="single" w:sz="8" w:space="0" w:color="CBD0D2"/>
              <w:right w:val="single" w:sz="8" w:space="0" w:color="CBD0D2"/>
            </w:tcBorders>
            <w:shd w:val="clear" w:color="auto" w:fill="auto"/>
            <w:vAlign w:val="center"/>
            <w:hideMark/>
          </w:tcPr>
          <w:p w14:paraId="1AE393CA" w14:textId="031603EE" w:rsidR="00B53665" w:rsidRPr="00567274" w:rsidRDefault="008C08EF" w:rsidP="006F32F1">
            <w:pPr>
              <w:tabs>
                <w:tab w:val="decimal" w:pos="919"/>
              </w:tabs>
              <w:spacing w:after="0"/>
              <w:rPr>
                <w:rFonts w:eastAsia="Times New Roman" w:cs="Arial"/>
                <w:b/>
                <w:bCs/>
              </w:rPr>
            </w:pPr>
            <w:r>
              <w:rPr>
                <w:rFonts w:eastAsia="Times New Roman" w:cs="Arial"/>
                <w:b/>
                <w:bCs/>
              </w:rPr>
              <w:t>94.3</w:t>
            </w:r>
          </w:p>
        </w:tc>
        <w:tc>
          <w:tcPr>
            <w:tcW w:w="3380" w:type="dxa"/>
            <w:tcBorders>
              <w:top w:val="nil"/>
              <w:left w:val="nil"/>
              <w:bottom w:val="single" w:sz="8" w:space="0" w:color="CBD0D2"/>
              <w:right w:val="single" w:sz="8" w:space="0" w:color="CBD0D2"/>
            </w:tcBorders>
            <w:shd w:val="clear" w:color="auto" w:fill="auto"/>
            <w:vAlign w:val="center"/>
            <w:hideMark/>
          </w:tcPr>
          <w:p w14:paraId="27A965DB" w14:textId="77777777" w:rsidR="00B53665" w:rsidRPr="00567274" w:rsidRDefault="00B53665" w:rsidP="006F32F1">
            <w:pPr>
              <w:spacing w:after="0"/>
              <w:jc w:val="center"/>
              <w:rPr>
                <w:rFonts w:eastAsia="Times New Roman" w:cs="Arial"/>
                <w:b/>
                <w:bCs/>
              </w:rPr>
            </w:pPr>
            <w:r w:rsidRPr="00567274">
              <w:rPr>
                <w:rFonts w:eastAsia="Times New Roman" w:cs="Arial"/>
                <w:b/>
                <w:bCs/>
              </w:rPr>
              <w:t>100%</w:t>
            </w:r>
          </w:p>
        </w:tc>
      </w:tr>
      <w:tr w:rsidR="00B53665" w:rsidRPr="00567274" w14:paraId="1B0C2C32" w14:textId="77777777" w:rsidTr="006F32F1">
        <w:trPr>
          <w:trHeight w:val="77"/>
        </w:trPr>
        <w:tc>
          <w:tcPr>
            <w:tcW w:w="4320" w:type="dxa"/>
            <w:tcBorders>
              <w:top w:val="nil"/>
              <w:left w:val="single" w:sz="8" w:space="0" w:color="CBD0D2"/>
              <w:bottom w:val="single" w:sz="8" w:space="0" w:color="CBD0D2"/>
              <w:right w:val="single" w:sz="8" w:space="0" w:color="CBD0D2"/>
            </w:tcBorders>
            <w:shd w:val="clear" w:color="000000" w:fill="BFBFBF"/>
            <w:vAlign w:val="center"/>
            <w:hideMark/>
          </w:tcPr>
          <w:p w14:paraId="4CBB53DC" w14:textId="4A75E0F5" w:rsidR="00B53665" w:rsidRPr="006F32F1" w:rsidRDefault="00B53665" w:rsidP="006F32F1">
            <w:pPr>
              <w:spacing w:after="0"/>
              <w:rPr>
                <w:rFonts w:eastAsia="Times New Roman" w:cs="Arial"/>
                <w:color w:val="003461" w:themeColor="accent1"/>
              </w:rPr>
            </w:pPr>
            <w:r w:rsidRPr="006F32F1">
              <w:rPr>
                <w:rFonts w:eastAsia="Times New Roman" w:cs="Arial"/>
                <w:color w:val="003461" w:themeColor="accent1"/>
              </w:rPr>
              <w:t>Coverage renewed</w:t>
            </w:r>
          </w:p>
        </w:tc>
        <w:tc>
          <w:tcPr>
            <w:tcW w:w="1980" w:type="dxa"/>
            <w:tcBorders>
              <w:top w:val="nil"/>
              <w:left w:val="nil"/>
              <w:bottom w:val="single" w:sz="8" w:space="0" w:color="CBD0D2"/>
              <w:right w:val="single" w:sz="8" w:space="0" w:color="CBD0D2"/>
            </w:tcBorders>
            <w:shd w:val="clear" w:color="000000" w:fill="BFBFBF"/>
            <w:vAlign w:val="center"/>
            <w:hideMark/>
          </w:tcPr>
          <w:p w14:paraId="498D0B1E" w14:textId="16D40306" w:rsidR="00B53665" w:rsidRPr="00567274" w:rsidRDefault="008C08EF" w:rsidP="006F32F1">
            <w:pPr>
              <w:tabs>
                <w:tab w:val="decimal" w:pos="919"/>
              </w:tabs>
              <w:spacing w:after="0"/>
              <w:rPr>
                <w:rFonts w:eastAsia="Times New Roman" w:cs="Arial"/>
              </w:rPr>
            </w:pPr>
            <w:r>
              <w:rPr>
                <w:rFonts w:eastAsia="Times New Roman" w:cs="Arial"/>
              </w:rPr>
              <w:t>55.1</w:t>
            </w:r>
          </w:p>
        </w:tc>
        <w:tc>
          <w:tcPr>
            <w:tcW w:w="3380" w:type="dxa"/>
            <w:tcBorders>
              <w:top w:val="nil"/>
              <w:left w:val="nil"/>
              <w:bottom w:val="single" w:sz="8" w:space="0" w:color="CBD0D2"/>
              <w:right w:val="single" w:sz="8" w:space="0" w:color="CBD0D2"/>
            </w:tcBorders>
            <w:shd w:val="clear" w:color="000000" w:fill="BFBFBF"/>
            <w:vAlign w:val="center"/>
            <w:hideMark/>
          </w:tcPr>
          <w:p w14:paraId="42F062D4" w14:textId="49B33818" w:rsidR="00B53665" w:rsidRPr="00567274" w:rsidRDefault="008C08EF" w:rsidP="006F32F1">
            <w:pPr>
              <w:spacing w:after="0"/>
              <w:jc w:val="center"/>
              <w:rPr>
                <w:rFonts w:eastAsia="Times New Roman" w:cs="Arial"/>
              </w:rPr>
            </w:pPr>
            <w:r>
              <w:rPr>
                <w:rFonts w:eastAsia="Times New Roman" w:cs="Arial"/>
                <w:bCs/>
              </w:rPr>
              <w:t>58</w:t>
            </w:r>
            <w:r w:rsidR="00B022D8">
              <w:rPr>
                <w:rFonts w:eastAsia="Times New Roman" w:cs="Arial"/>
                <w:bCs/>
              </w:rPr>
              <w:t>.4</w:t>
            </w:r>
          </w:p>
        </w:tc>
      </w:tr>
      <w:tr w:rsidR="00B53665" w:rsidRPr="00567274" w14:paraId="50E0A934" w14:textId="77777777" w:rsidTr="006F32F1">
        <w:trPr>
          <w:trHeight w:val="185"/>
        </w:trPr>
        <w:tc>
          <w:tcPr>
            <w:tcW w:w="4320" w:type="dxa"/>
            <w:tcBorders>
              <w:top w:val="nil"/>
              <w:left w:val="single" w:sz="8" w:space="0" w:color="CBD0D2"/>
              <w:bottom w:val="single" w:sz="8" w:space="0" w:color="CBD0D2"/>
              <w:right w:val="single" w:sz="8" w:space="0" w:color="CBD0D2"/>
            </w:tcBorders>
            <w:shd w:val="clear" w:color="auto" w:fill="auto"/>
            <w:vAlign w:val="center"/>
            <w:hideMark/>
          </w:tcPr>
          <w:p w14:paraId="3D083116" w14:textId="034AB91F" w:rsidR="00B53665" w:rsidRPr="006F32F1" w:rsidRDefault="00B53665" w:rsidP="006F32F1">
            <w:pPr>
              <w:spacing w:after="0"/>
              <w:rPr>
                <w:rFonts w:eastAsia="Times New Roman" w:cs="Arial"/>
                <w:color w:val="003461" w:themeColor="accent1"/>
              </w:rPr>
            </w:pPr>
            <w:r w:rsidRPr="006F32F1">
              <w:rPr>
                <w:rFonts w:eastAsia="Times New Roman" w:cs="Arial"/>
                <w:color w:val="003461" w:themeColor="accent1"/>
              </w:rPr>
              <w:t>Ex parte or automatic renewal</w:t>
            </w:r>
          </w:p>
        </w:tc>
        <w:tc>
          <w:tcPr>
            <w:tcW w:w="1980" w:type="dxa"/>
            <w:tcBorders>
              <w:top w:val="nil"/>
              <w:left w:val="single" w:sz="8" w:space="0" w:color="CBD0D2"/>
              <w:bottom w:val="single" w:sz="8" w:space="0" w:color="CBD0D2"/>
              <w:right w:val="single" w:sz="8" w:space="0" w:color="CBD0D2"/>
            </w:tcBorders>
            <w:shd w:val="clear" w:color="auto" w:fill="auto"/>
            <w:vAlign w:val="center"/>
            <w:hideMark/>
          </w:tcPr>
          <w:p w14:paraId="7E4FF84C" w14:textId="6244F7C5" w:rsidR="00B53665" w:rsidRPr="00567274" w:rsidRDefault="008C08EF" w:rsidP="006F32F1">
            <w:pPr>
              <w:tabs>
                <w:tab w:val="decimal" w:pos="919"/>
              </w:tabs>
              <w:spacing w:after="0"/>
              <w:rPr>
                <w:rFonts w:eastAsia="Times New Roman" w:cs="Arial"/>
              </w:rPr>
            </w:pPr>
            <w:r>
              <w:rPr>
                <w:rFonts w:eastAsia="Times New Roman" w:cs="Arial"/>
              </w:rPr>
              <w:t>37.6</w:t>
            </w:r>
          </w:p>
        </w:tc>
        <w:tc>
          <w:tcPr>
            <w:tcW w:w="3380" w:type="dxa"/>
            <w:tcBorders>
              <w:top w:val="nil"/>
              <w:left w:val="nil"/>
              <w:bottom w:val="nil"/>
              <w:right w:val="single" w:sz="8" w:space="0" w:color="CBD0D2"/>
            </w:tcBorders>
            <w:shd w:val="clear" w:color="auto" w:fill="auto"/>
            <w:vAlign w:val="center"/>
            <w:hideMark/>
          </w:tcPr>
          <w:p w14:paraId="5CF57D9C" w14:textId="562AEC3A" w:rsidR="00B53665" w:rsidRPr="00567274" w:rsidRDefault="00B022D8" w:rsidP="006F32F1">
            <w:pPr>
              <w:spacing w:after="0"/>
              <w:jc w:val="center"/>
              <w:rPr>
                <w:rFonts w:eastAsia="Times New Roman" w:cs="Arial"/>
              </w:rPr>
            </w:pPr>
            <w:r>
              <w:rPr>
                <w:rFonts w:eastAsia="Times New Roman" w:cs="Arial"/>
              </w:rPr>
              <w:t>39.9</w:t>
            </w:r>
            <w:r w:rsidR="00B53665">
              <w:rPr>
                <w:rFonts w:eastAsia="Times New Roman" w:cs="Arial"/>
              </w:rPr>
              <w:t xml:space="preserve"> (6</w:t>
            </w:r>
            <w:r w:rsidR="008C08EF">
              <w:rPr>
                <w:rFonts w:eastAsia="Times New Roman" w:cs="Arial"/>
              </w:rPr>
              <w:t>8.2</w:t>
            </w:r>
            <w:r w:rsidR="00B53665">
              <w:rPr>
                <w:rFonts w:eastAsia="Times New Roman" w:cs="Arial"/>
              </w:rPr>
              <w:t xml:space="preserve"> of renewals)</w:t>
            </w:r>
          </w:p>
        </w:tc>
      </w:tr>
      <w:tr w:rsidR="00B53665" w:rsidRPr="00567274" w14:paraId="7B2371B0" w14:textId="77777777" w:rsidTr="006F32F1">
        <w:trPr>
          <w:trHeight w:val="22"/>
        </w:trPr>
        <w:tc>
          <w:tcPr>
            <w:tcW w:w="4320" w:type="dxa"/>
            <w:tcBorders>
              <w:top w:val="nil"/>
              <w:left w:val="single" w:sz="8" w:space="0" w:color="CBD0D2"/>
              <w:bottom w:val="single" w:sz="8" w:space="0" w:color="CBD0D2"/>
              <w:right w:val="single" w:sz="8" w:space="0" w:color="CBD0D2"/>
            </w:tcBorders>
            <w:shd w:val="clear" w:color="000000" w:fill="ECECED"/>
            <w:vAlign w:val="center"/>
            <w:hideMark/>
          </w:tcPr>
          <w:p w14:paraId="55C8206F" w14:textId="21BD71DC" w:rsidR="00B53665" w:rsidRPr="006F32F1" w:rsidRDefault="00B53665" w:rsidP="006F32F1">
            <w:pPr>
              <w:spacing w:after="0"/>
              <w:rPr>
                <w:rFonts w:eastAsia="Times New Roman" w:cs="Arial"/>
                <w:color w:val="003461" w:themeColor="accent1"/>
              </w:rPr>
            </w:pPr>
            <w:r w:rsidRPr="006F32F1">
              <w:rPr>
                <w:rFonts w:eastAsia="Times New Roman" w:cs="Arial"/>
                <w:color w:val="003461" w:themeColor="accent1"/>
              </w:rPr>
              <w:t>Renewed based on returned form</w:t>
            </w:r>
          </w:p>
        </w:tc>
        <w:tc>
          <w:tcPr>
            <w:tcW w:w="1980" w:type="dxa"/>
            <w:tcBorders>
              <w:top w:val="nil"/>
              <w:left w:val="single" w:sz="8" w:space="0" w:color="CBD0D2"/>
              <w:bottom w:val="single" w:sz="8" w:space="0" w:color="CBD0D2"/>
              <w:right w:val="single" w:sz="8" w:space="0" w:color="CBD0D2"/>
            </w:tcBorders>
            <w:shd w:val="clear" w:color="000000" w:fill="ECECED"/>
            <w:vAlign w:val="center"/>
            <w:hideMark/>
          </w:tcPr>
          <w:p w14:paraId="7991156B" w14:textId="0A4FA7F4" w:rsidR="00B53665" w:rsidRPr="00567274" w:rsidRDefault="008C08EF" w:rsidP="006F32F1">
            <w:pPr>
              <w:tabs>
                <w:tab w:val="decimal" w:pos="919"/>
              </w:tabs>
              <w:spacing w:after="0"/>
              <w:rPr>
                <w:rFonts w:eastAsia="Times New Roman" w:cs="Arial"/>
              </w:rPr>
            </w:pPr>
            <w:r>
              <w:rPr>
                <w:rFonts w:eastAsia="Times New Roman" w:cs="Arial"/>
              </w:rPr>
              <w:t>17.5</w:t>
            </w:r>
          </w:p>
        </w:tc>
        <w:tc>
          <w:tcPr>
            <w:tcW w:w="3380" w:type="dxa"/>
            <w:tcBorders>
              <w:top w:val="nil"/>
              <w:left w:val="nil"/>
              <w:bottom w:val="nil"/>
              <w:right w:val="single" w:sz="8" w:space="0" w:color="CBD0D2"/>
            </w:tcBorders>
            <w:shd w:val="clear" w:color="000000" w:fill="ECECED"/>
            <w:vAlign w:val="center"/>
            <w:hideMark/>
          </w:tcPr>
          <w:p w14:paraId="4DEF9492" w14:textId="0F4337C5" w:rsidR="00B53665" w:rsidRPr="00567274" w:rsidRDefault="00B022D8" w:rsidP="006F32F1">
            <w:pPr>
              <w:spacing w:after="0"/>
              <w:jc w:val="center"/>
              <w:rPr>
                <w:rFonts w:eastAsia="Times New Roman" w:cs="Arial"/>
              </w:rPr>
            </w:pPr>
            <w:r>
              <w:rPr>
                <w:rFonts w:eastAsia="Times New Roman" w:cs="Arial"/>
              </w:rPr>
              <w:t>18.</w:t>
            </w:r>
            <w:r w:rsidR="00E12F2E">
              <w:rPr>
                <w:rFonts w:eastAsia="Times New Roman" w:cs="Arial"/>
              </w:rPr>
              <w:t>5</w:t>
            </w:r>
            <w:r w:rsidR="00B53665">
              <w:rPr>
                <w:rFonts w:eastAsia="Times New Roman" w:cs="Arial"/>
              </w:rPr>
              <w:t xml:space="preserve"> (3</w:t>
            </w:r>
            <w:r w:rsidR="008C08EF">
              <w:rPr>
                <w:rFonts w:eastAsia="Times New Roman" w:cs="Arial"/>
              </w:rPr>
              <w:t>1.8</w:t>
            </w:r>
            <w:r w:rsidR="00B53665">
              <w:rPr>
                <w:rFonts w:eastAsia="Times New Roman" w:cs="Arial"/>
              </w:rPr>
              <w:t xml:space="preserve"> of renewals)</w:t>
            </w:r>
          </w:p>
        </w:tc>
      </w:tr>
      <w:tr w:rsidR="00B53665" w:rsidRPr="00567274" w14:paraId="22F42E61" w14:textId="77777777" w:rsidTr="006F32F1">
        <w:trPr>
          <w:trHeight w:val="131"/>
        </w:trPr>
        <w:tc>
          <w:tcPr>
            <w:tcW w:w="4320" w:type="dxa"/>
            <w:tcBorders>
              <w:top w:val="nil"/>
              <w:left w:val="single" w:sz="8" w:space="0" w:color="CBD0D2"/>
              <w:bottom w:val="single" w:sz="8" w:space="0" w:color="CBD0D2"/>
              <w:right w:val="single" w:sz="8" w:space="0" w:color="CBD0D2"/>
            </w:tcBorders>
            <w:shd w:val="clear" w:color="000000" w:fill="BFBFBF"/>
            <w:vAlign w:val="center"/>
            <w:hideMark/>
          </w:tcPr>
          <w:p w14:paraId="19CD662D" w14:textId="58232435" w:rsidR="00B53665" w:rsidRPr="006F32F1" w:rsidRDefault="00B53665" w:rsidP="006F32F1">
            <w:pPr>
              <w:spacing w:after="0"/>
              <w:rPr>
                <w:rFonts w:eastAsia="Times New Roman" w:cs="Arial"/>
                <w:color w:val="003461" w:themeColor="accent1"/>
              </w:rPr>
            </w:pPr>
            <w:r w:rsidRPr="006F32F1">
              <w:rPr>
                <w:rFonts w:eastAsia="Times New Roman" w:cs="Arial"/>
                <w:color w:val="003461" w:themeColor="accent1"/>
              </w:rPr>
              <w:t>Coverage terminated</w:t>
            </w:r>
          </w:p>
        </w:tc>
        <w:tc>
          <w:tcPr>
            <w:tcW w:w="1980" w:type="dxa"/>
            <w:tcBorders>
              <w:top w:val="nil"/>
              <w:left w:val="nil"/>
              <w:bottom w:val="single" w:sz="8" w:space="0" w:color="CBD0D2"/>
              <w:right w:val="single" w:sz="8" w:space="0" w:color="CBD0D2"/>
            </w:tcBorders>
            <w:shd w:val="clear" w:color="000000" w:fill="BFBFBF"/>
            <w:vAlign w:val="center"/>
            <w:hideMark/>
          </w:tcPr>
          <w:p w14:paraId="77D57BED" w14:textId="534B2E48" w:rsidR="00B53665" w:rsidRPr="00567274" w:rsidRDefault="008C08EF" w:rsidP="006F32F1">
            <w:pPr>
              <w:tabs>
                <w:tab w:val="decimal" w:pos="919"/>
              </w:tabs>
              <w:spacing w:after="0"/>
              <w:rPr>
                <w:rFonts w:eastAsia="Times New Roman" w:cs="Arial"/>
              </w:rPr>
            </w:pPr>
            <w:r>
              <w:rPr>
                <w:rFonts w:eastAsia="Times New Roman" w:cs="Arial"/>
              </w:rPr>
              <w:t>20.</w:t>
            </w:r>
            <w:r w:rsidR="00E12F2E">
              <w:rPr>
                <w:rFonts w:eastAsia="Times New Roman" w:cs="Arial"/>
              </w:rPr>
              <w:t>7</w:t>
            </w:r>
          </w:p>
        </w:tc>
        <w:tc>
          <w:tcPr>
            <w:tcW w:w="3380" w:type="dxa"/>
            <w:tcBorders>
              <w:top w:val="nil"/>
              <w:left w:val="nil"/>
              <w:bottom w:val="single" w:sz="8" w:space="0" w:color="CBD0D2"/>
              <w:right w:val="single" w:sz="8" w:space="0" w:color="CBD0D2"/>
            </w:tcBorders>
            <w:shd w:val="clear" w:color="000000" w:fill="BFBFBF"/>
            <w:vAlign w:val="center"/>
            <w:hideMark/>
          </w:tcPr>
          <w:p w14:paraId="54001A0C" w14:textId="73D2A583" w:rsidR="00B53665" w:rsidRPr="00567274" w:rsidRDefault="008C08EF" w:rsidP="006F32F1">
            <w:pPr>
              <w:spacing w:after="0"/>
              <w:jc w:val="center"/>
              <w:rPr>
                <w:rFonts w:eastAsia="Times New Roman" w:cs="Arial"/>
              </w:rPr>
            </w:pPr>
            <w:r>
              <w:rPr>
                <w:rFonts w:eastAsia="Times New Roman" w:cs="Arial"/>
              </w:rPr>
              <w:t>22</w:t>
            </w:r>
            <w:r w:rsidR="00B022D8">
              <w:rPr>
                <w:rFonts w:eastAsia="Times New Roman" w:cs="Arial"/>
              </w:rPr>
              <w:t>.0</w:t>
            </w:r>
          </w:p>
        </w:tc>
      </w:tr>
      <w:tr w:rsidR="00B53665" w:rsidRPr="00567274" w14:paraId="71319A8E" w14:textId="77777777" w:rsidTr="006F32F1">
        <w:trPr>
          <w:trHeight w:val="59"/>
        </w:trPr>
        <w:tc>
          <w:tcPr>
            <w:tcW w:w="4320" w:type="dxa"/>
            <w:tcBorders>
              <w:top w:val="nil"/>
              <w:left w:val="single" w:sz="8" w:space="0" w:color="CBD0D2"/>
              <w:bottom w:val="single" w:sz="8" w:space="0" w:color="CBD0D2"/>
              <w:right w:val="single" w:sz="8" w:space="0" w:color="CBD0D2"/>
            </w:tcBorders>
            <w:shd w:val="clear" w:color="auto" w:fill="auto"/>
            <w:vAlign w:val="center"/>
            <w:hideMark/>
          </w:tcPr>
          <w:p w14:paraId="0CA407EC" w14:textId="000E3A2F" w:rsidR="00B53665" w:rsidRPr="006F32F1" w:rsidRDefault="00B53665" w:rsidP="006F32F1">
            <w:pPr>
              <w:spacing w:after="0"/>
              <w:rPr>
                <w:rFonts w:eastAsia="Times New Roman" w:cs="Arial"/>
                <w:color w:val="003461" w:themeColor="accent1"/>
              </w:rPr>
            </w:pPr>
            <w:r w:rsidRPr="006F32F1">
              <w:rPr>
                <w:rFonts w:eastAsia="Times New Roman" w:cs="Arial"/>
                <w:color w:val="003461" w:themeColor="accent1"/>
              </w:rPr>
              <w:t xml:space="preserve">Determined ineligible </w:t>
            </w:r>
          </w:p>
        </w:tc>
        <w:tc>
          <w:tcPr>
            <w:tcW w:w="1980" w:type="dxa"/>
            <w:tcBorders>
              <w:top w:val="nil"/>
              <w:left w:val="single" w:sz="8" w:space="0" w:color="CBD0D2"/>
              <w:bottom w:val="single" w:sz="8" w:space="0" w:color="CBD0D2"/>
              <w:right w:val="single" w:sz="8" w:space="0" w:color="CBD0D2"/>
            </w:tcBorders>
            <w:shd w:val="clear" w:color="auto" w:fill="auto"/>
            <w:vAlign w:val="center"/>
            <w:hideMark/>
          </w:tcPr>
          <w:p w14:paraId="0BD0A38E" w14:textId="154E6114" w:rsidR="00B53665" w:rsidRPr="00567274" w:rsidRDefault="008C08EF" w:rsidP="006F32F1">
            <w:pPr>
              <w:tabs>
                <w:tab w:val="decimal" w:pos="919"/>
              </w:tabs>
              <w:spacing w:after="0"/>
              <w:rPr>
                <w:rFonts w:eastAsia="Times New Roman" w:cs="Arial"/>
              </w:rPr>
            </w:pPr>
            <w:r>
              <w:rPr>
                <w:rFonts w:eastAsia="Times New Roman" w:cs="Arial"/>
              </w:rPr>
              <w:t>6.5</w:t>
            </w:r>
          </w:p>
        </w:tc>
        <w:tc>
          <w:tcPr>
            <w:tcW w:w="3380" w:type="dxa"/>
            <w:tcBorders>
              <w:top w:val="nil"/>
              <w:left w:val="nil"/>
              <w:bottom w:val="nil"/>
              <w:right w:val="single" w:sz="8" w:space="0" w:color="CBD0D2"/>
            </w:tcBorders>
            <w:shd w:val="clear" w:color="auto" w:fill="auto"/>
            <w:vAlign w:val="center"/>
            <w:hideMark/>
          </w:tcPr>
          <w:p w14:paraId="5E1F489D" w14:textId="63281110" w:rsidR="00B53665" w:rsidRPr="00567274" w:rsidRDefault="00B022D8" w:rsidP="006F32F1">
            <w:pPr>
              <w:spacing w:after="0"/>
              <w:jc w:val="center"/>
              <w:rPr>
                <w:rFonts w:eastAsia="Times New Roman" w:cs="Arial"/>
              </w:rPr>
            </w:pPr>
            <w:r>
              <w:rPr>
                <w:rFonts w:eastAsia="Times New Roman" w:cs="Arial"/>
              </w:rPr>
              <w:t>6.9</w:t>
            </w:r>
            <w:r w:rsidR="00B53665">
              <w:rPr>
                <w:rFonts w:eastAsia="Times New Roman" w:cs="Arial"/>
              </w:rPr>
              <w:t xml:space="preserve"> (3</w:t>
            </w:r>
            <w:r w:rsidR="008C08EF">
              <w:rPr>
                <w:rFonts w:eastAsia="Times New Roman" w:cs="Arial"/>
              </w:rPr>
              <w:t>1.3</w:t>
            </w:r>
            <w:r w:rsidR="00B53665">
              <w:rPr>
                <w:rFonts w:eastAsia="Times New Roman" w:cs="Arial"/>
              </w:rPr>
              <w:t xml:space="preserve"> terminations)</w:t>
            </w:r>
          </w:p>
        </w:tc>
      </w:tr>
      <w:tr w:rsidR="00B53665" w:rsidRPr="00567274" w14:paraId="7CAA8C95" w14:textId="77777777" w:rsidTr="006F32F1">
        <w:trPr>
          <w:trHeight w:val="22"/>
        </w:trPr>
        <w:tc>
          <w:tcPr>
            <w:tcW w:w="4320" w:type="dxa"/>
            <w:tcBorders>
              <w:top w:val="nil"/>
              <w:left w:val="single" w:sz="8" w:space="0" w:color="CBD0D2"/>
              <w:bottom w:val="single" w:sz="8" w:space="0" w:color="CBD0D2"/>
              <w:right w:val="single" w:sz="8" w:space="0" w:color="CBD0D2"/>
            </w:tcBorders>
            <w:shd w:val="clear" w:color="000000" w:fill="ECECED"/>
            <w:vAlign w:val="center"/>
            <w:hideMark/>
          </w:tcPr>
          <w:p w14:paraId="17032C87" w14:textId="6D39A70A" w:rsidR="00B53665" w:rsidRPr="006F32F1" w:rsidRDefault="00B53665" w:rsidP="006F32F1">
            <w:pPr>
              <w:spacing w:after="0"/>
              <w:rPr>
                <w:rFonts w:eastAsia="Times New Roman" w:cs="Arial"/>
                <w:color w:val="003461" w:themeColor="accent1"/>
              </w:rPr>
            </w:pPr>
            <w:r w:rsidRPr="006F32F1">
              <w:rPr>
                <w:rFonts w:eastAsia="Times New Roman" w:cs="Arial"/>
                <w:color w:val="003461" w:themeColor="accent1"/>
              </w:rPr>
              <w:t>Procedural terminations</w:t>
            </w:r>
          </w:p>
        </w:tc>
        <w:tc>
          <w:tcPr>
            <w:tcW w:w="1980" w:type="dxa"/>
            <w:tcBorders>
              <w:top w:val="nil"/>
              <w:left w:val="single" w:sz="8" w:space="0" w:color="CBD0D2"/>
              <w:bottom w:val="single" w:sz="8" w:space="0" w:color="CBD0D2"/>
              <w:right w:val="single" w:sz="8" w:space="0" w:color="CBD0D2"/>
            </w:tcBorders>
            <w:shd w:val="clear" w:color="000000" w:fill="ECECED"/>
            <w:vAlign w:val="center"/>
            <w:hideMark/>
          </w:tcPr>
          <w:p w14:paraId="6FD00318" w14:textId="70F10B68" w:rsidR="00B53665" w:rsidRPr="00567274" w:rsidRDefault="00B53665" w:rsidP="006F32F1">
            <w:pPr>
              <w:tabs>
                <w:tab w:val="decimal" w:pos="919"/>
              </w:tabs>
              <w:spacing w:after="0"/>
              <w:rPr>
                <w:rFonts w:eastAsia="Times New Roman" w:cs="Arial"/>
              </w:rPr>
            </w:pPr>
            <w:r w:rsidRPr="00567274">
              <w:rPr>
                <w:rFonts w:eastAsia="Times New Roman" w:cs="Arial"/>
              </w:rPr>
              <w:t>1</w:t>
            </w:r>
            <w:r w:rsidR="008C08EF">
              <w:rPr>
                <w:rFonts w:eastAsia="Times New Roman" w:cs="Arial"/>
              </w:rPr>
              <w:t>4.3</w:t>
            </w:r>
          </w:p>
        </w:tc>
        <w:tc>
          <w:tcPr>
            <w:tcW w:w="3380" w:type="dxa"/>
            <w:tcBorders>
              <w:top w:val="nil"/>
              <w:left w:val="nil"/>
              <w:bottom w:val="nil"/>
              <w:right w:val="single" w:sz="8" w:space="0" w:color="CBD0D2"/>
            </w:tcBorders>
            <w:shd w:val="clear" w:color="000000" w:fill="ECECED"/>
            <w:vAlign w:val="center"/>
            <w:hideMark/>
          </w:tcPr>
          <w:p w14:paraId="1A139792" w14:textId="52148871" w:rsidR="00B53665" w:rsidRPr="00567274" w:rsidRDefault="00B53665" w:rsidP="006F32F1">
            <w:pPr>
              <w:spacing w:after="0"/>
              <w:jc w:val="center"/>
              <w:rPr>
                <w:rFonts w:eastAsia="Times New Roman" w:cs="Arial"/>
              </w:rPr>
            </w:pPr>
            <w:r w:rsidRPr="00567274">
              <w:rPr>
                <w:rFonts w:eastAsia="Times New Roman" w:cs="Arial"/>
              </w:rPr>
              <w:t>1</w:t>
            </w:r>
            <w:r w:rsidR="008C08EF">
              <w:rPr>
                <w:rFonts w:eastAsia="Times New Roman" w:cs="Arial"/>
              </w:rPr>
              <w:t>5</w:t>
            </w:r>
            <w:r w:rsidR="00B022D8">
              <w:rPr>
                <w:rFonts w:eastAsia="Times New Roman" w:cs="Arial"/>
              </w:rPr>
              <w:t>.1</w:t>
            </w:r>
            <w:r>
              <w:rPr>
                <w:rFonts w:eastAsia="Times New Roman" w:cs="Arial"/>
              </w:rPr>
              <w:t xml:space="preserve"> (6</w:t>
            </w:r>
            <w:r w:rsidR="008C08EF">
              <w:rPr>
                <w:rFonts w:eastAsia="Times New Roman" w:cs="Arial"/>
              </w:rPr>
              <w:t>8.7</w:t>
            </w:r>
            <w:r>
              <w:rPr>
                <w:rFonts w:eastAsia="Times New Roman" w:cs="Arial"/>
              </w:rPr>
              <w:t xml:space="preserve"> of terminations)</w:t>
            </w:r>
          </w:p>
        </w:tc>
      </w:tr>
      <w:tr w:rsidR="00B53665" w:rsidRPr="00567274" w14:paraId="752AB490" w14:textId="77777777" w:rsidTr="006F32F1">
        <w:trPr>
          <w:trHeight w:val="122"/>
        </w:trPr>
        <w:tc>
          <w:tcPr>
            <w:tcW w:w="4320" w:type="dxa"/>
            <w:tcBorders>
              <w:top w:val="nil"/>
              <w:left w:val="single" w:sz="8" w:space="0" w:color="CBD0D2"/>
              <w:bottom w:val="single" w:sz="8" w:space="0" w:color="CBD0D2"/>
              <w:right w:val="single" w:sz="8" w:space="0" w:color="CBD0D2"/>
            </w:tcBorders>
            <w:shd w:val="clear" w:color="000000" w:fill="BFBFBF"/>
            <w:vAlign w:val="center"/>
            <w:hideMark/>
          </w:tcPr>
          <w:p w14:paraId="35E03A73" w14:textId="4E21FC35" w:rsidR="00B53665" w:rsidRPr="006F32F1" w:rsidRDefault="00B53665" w:rsidP="006F32F1">
            <w:pPr>
              <w:spacing w:after="0"/>
              <w:rPr>
                <w:rFonts w:eastAsia="Times New Roman" w:cs="Arial"/>
                <w:color w:val="003461" w:themeColor="accent1"/>
              </w:rPr>
            </w:pPr>
            <w:r w:rsidRPr="006F32F1">
              <w:rPr>
                <w:rFonts w:eastAsia="Times New Roman" w:cs="Arial"/>
                <w:color w:val="003461" w:themeColor="accent1"/>
              </w:rPr>
              <w:t>Renewals pending</w:t>
            </w:r>
          </w:p>
        </w:tc>
        <w:tc>
          <w:tcPr>
            <w:tcW w:w="1980" w:type="dxa"/>
            <w:tcBorders>
              <w:top w:val="nil"/>
              <w:left w:val="nil"/>
              <w:bottom w:val="single" w:sz="8" w:space="0" w:color="CBD0D2"/>
              <w:right w:val="single" w:sz="8" w:space="0" w:color="CBD0D2"/>
            </w:tcBorders>
            <w:shd w:val="clear" w:color="000000" w:fill="BFBFBF"/>
            <w:vAlign w:val="center"/>
            <w:hideMark/>
          </w:tcPr>
          <w:p w14:paraId="762F0D3D" w14:textId="5A333786" w:rsidR="00B53665" w:rsidRPr="00567274" w:rsidRDefault="00B53665" w:rsidP="006F32F1">
            <w:pPr>
              <w:tabs>
                <w:tab w:val="decimal" w:pos="919"/>
              </w:tabs>
              <w:spacing w:after="0"/>
              <w:rPr>
                <w:rFonts w:eastAsia="Times New Roman" w:cs="Arial"/>
              </w:rPr>
            </w:pPr>
            <w:r w:rsidRPr="00567274">
              <w:rPr>
                <w:rFonts w:eastAsia="Times New Roman" w:cs="Arial"/>
                <w:bCs/>
              </w:rPr>
              <w:t>1</w:t>
            </w:r>
            <w:r w:rsidR="008C08EF">
              <w:rPr>
                <w:rFonts w:eastAsia="Times New Roman" w:cs="Arial"/>
                <w:bCs/>
              </w:rPr>
              <w:t>8</w:t>
            </w:r>
            <w:r>
              <w:rPr>
                <w:rFonts w:eastAsia="Times New Roman" w:cs="Arial"/>
                <w:bCs/>
              </w:rPr>
              <w:t>.</w:t>
            </w:r>
            <w:r w:rsidR="008C08EF">
              <w:rPr>
                <w:rFonts w:eastAsia="Times New Roman" w:cs="Arial"/>
                <w:bCs/>
              </w:rPr>
              <w:t>5</w:t>
            </w:r>
          </w:p>
        </w:tc>
        <w:tc>
          <w:tcPr>
            <w:tcW w:w="3380" w:type="dxa"/>
            <w:tcBorders>
              <w:top w:val="nil"/>
              <w:left w:val="nil"/>
              <w:bottom w:val="single" w:sz="8" w:space="0" w:color="CBD0D2"/>
              <w:right w:val="single" w:sz="8" w:space="0" w:color="CBD0D2"/>
            </w:tcBorders>
            <w:shd w:val="clear" w:color="000000" w:fill="BFBFBF"/>
            <w:vAlign w:val="center"/>
            <w:hideMark/>
          </w:tcPr>
          <w:p w14:paraId="061BD799" w14:textId="78C334EF" w:rsidR="00B53665" w:rsidRPr="00567274" w:rsidRDefault="00B022D8" w:rsidP="006F32F1">
            <w:pPr>
              <w:spacing w:after="0"/>
              <w:jc w:val="center"/>
              <w:rPr>
                <w:rFonts w:eastAsia="Times New Roman" w:cs="Arial"/>
              </w:rPr>
            </w:pPr>
            <w:r>
              <w:rPr>
                <w:rFonts w:eastAsia="Times New Roman" w:cs="Arial"/>
                <w:bCs/>
              </w:rPr>
              <w:t>19.6</w:t>
            </w:r>
          </w:p>
        </w:tc>
      </w:tr>
    </w:tbl>
    <w:p w14:paraId="025DEA0F" w14:textId="0F7587CF" w:rsidR="00B53665" w:rsidRDefault="00B53665" w:rsidP="006F32F1">
      <w:pPr>
        <w:pStyle w:val="TableNotes"/>
        <w:spacing w:before="120"/>
      </w:pPr>
      <w:r w:rsidRPr="007966FA">
        <w:rPr>
          <w:b/>
        </w:rPr>
        <w:t>Notes:</w:t>
      </w:r>
      <w:r w:rsidRPr="0020057F">
        <w:t xml:space="preserve"> </w:t>
      </w:r>
      <w:r w:rsidR="00E934B6">
        <w:t>DC is District of Columbia.</w:t>
      </w:r>
      <w:r w:rsidR="004515D0">
        <w:t xml:space="preserve"> CHIP is the </w:t>
      </w:r>
      <w:r w:rsidR="001D71A0">
        <w:t xml:space="preserve">State </w:t>
      </w:r>
      <w:r w:rsidR="004515D0">
        <w:t>Children’s Health Insurance Program.</w:t>
      </w:r>
      <w:r w:rsidR="00E934B6">
        <w:t xml:space="preserve"> </w:t>
      </w:r>
      <w:r w:rsidRPr="0020057F">
        <w:t xml:space="preserve">These data represent </w:t>
      </w:r>
      <w:r>
        <w:t xml:space="preserve">the cumulative total of renewals </w:t>
      </w:r>
      <w:r w:rsidRPr="0020057F">
        <w:t xml:space="preserve">from </w:t>
      </w:r>
      <w:r w:rsidR="00787183">
        <w:t xml:space="preserve">April </w:t>
      </w:r>
      <w:r>
        <w:t>2023 through</w:t>
      </w:r>
      <w:r w:rsidRPr="0020057F">
        <w:t xml:space="preserve"> </w:t>
      </w:r>
      <w:r w:rsidR="00237287">
        <w:t>June</w:t>
      </w:r>
      <w:r>
        <w:t xml:space="preserve"> </w:t>
      </w:r>
      <w:r w:rsidRPr="0020057F">
        <w:t>202</w:t>
      </w:r>
      <w:r>
        <w:t>4</w:t>
      </w:r>
      <w:r w:rsidRPr="0020057F">
        <w:t xml:space="preserve"> in all 50 states </w:t>
      </w:r>
      <w:r>
        <w:t>and the District of Columbia.</w:t>
      </w:r>
      <w:r w:rsidRPr="0020057F">
        <w:t xml:space="preserve"> Numbers and percentages </w:t>
      </w:r>
      <w:r w:rsidRPr="008572EA">
        <w:t>may not sum due to rounding. The District of Columbia, Delaware, Illinois, Kansas, Kentucky, Maryland, Maine, Michigan, New Jersey, New York, South Carolina, and Virginia paused some or all procedural terminations beginning in August 2023. Additional states paused procedural renewals in other months, and states varied in when they resumed procedural terminations. Pending</w:t>
      </w:r>
      <w:r w:rsidRPr="0020057F">
        <w:t xml:space="preserve"> renewals reflect the sum of total pending renewals at the end of each reporting month and not the cumulative total of pending renewals as of the end of </w:t>
      </w:r>
      <w:r w:rsidR="00237287">
        <w:t>June</w:t>
      </w:r>
      <w:r>
        <w:t xml:space="preserve"> 2024.</w:t>
      </w:r>
      <w:r w:rsidRPr="0020057F">
        <w:t xml:space="preserve"> States may </w:t>
      </w:r>
      <w:r w:rsidR="00E71342">
        <w:t xml:space="preserve">have </w:t>
      </w:r>
      <w:r w:rsidRPr="0020057F">
        <w:t>complete</w:t>
      </w:r>
      <w:r w:rsidR="00E71342">
        <w:t>d</w:t>
      </w:r>
      <w:r w:rsidRPr="0020057F">
        <w:t xml:space="preserve"> renewals pending in the month after the reporting month. Some states may have reinstated coverage for individuals who were terminated from Medicaid</w:t>
      </w:r>
      <w:r>
        <w:t xml:space="preserve"> and </w:t>
      </w:r>
      <w:r w:rsidR="001D71A0">
        <w:t xml:space="preserve">CHIP </w:t>
      </w:r>
      <w:r w:rsidRPr="0020057F">
        <w:t>in subsequent months. Those reinstatements are not reflected in the data.</w:t>
      </w:r>
    </w:p>
    <w:p w14:paraId="67E8EABC" w14:textId="30CD0012" w:rsidR="00B53665" w:rsidRDefault="00B53665" w:rsidP="00B53665">
      <w:pPr>
        <w:pStyle w:val="TableNotes"/>
      </w:pPr>
      <w:r w:rsidRPr="00DE53E6">
        <w:rPr>
          <w:b/>
        </w:rPr>
        <w:t>Sources:</w:t>
      </w:r>
      <w:r w:rsidRPr="00DE53E6">
        <w:t xml:space="preserve"> CMS </w:t>
      </w:r>
      <w:r>
        <w:t>2024</w:t>
      </w:r>
      <w:r w:rsidR="00FA5939">
        <w:t>f</w:t>
      </w:r>
      <w:r>
        <w:t>, 2024</w:t>
      </w:r>
      <w:r w:rsidR="00FA5939">
        <w:t>g</w:t>
      </w:r>
      <w:r>
        <w:t xml:space="preserve">; MACPAC 2024b. </w:t>
      </w:r>
    </w:p>
    <w:p w14:paraId="640CD0AA" w14:textId="5AAE0503" w:rsidR="00A775F5" w:rsidRDefault="00A775F5" w:rsidP="00B53665">
      <w:pPr>
        <w:pStyle w:val="TableNotes"/>
      </w:pPr>
    </w:p>
    <w:p w14:paraId="61033C93" w14:textId="4519DE2E" w:rsidR="00A775F5" w:rsidRDefault="00EE0AFC" w:rsidP="00EE0AFC">
      <w:r w:rsidRPr="00EE0AFC">
        <w:rPr>
          <w:rStyle w:val="Heading3Char"/>
        </w:rPr>
        <w:t>Ex parte renewals.</w:t>
      </w:r>
      <w:r>
        <w:t xml:space="preserve"> </w:t>
      </w:r>
      <w:r w:rsidRPr="00EE0AFC">
        <w:t>To renew beneficiaries’ Medicaid coverage, states must first attempt to confirm ongoing eligibility using reliable information available to the agency without requiring information from the individual. This requirement, also known as ex parte or administrative renewals, can reduce the administrative burden for states and simplify the process for beneficiaries (CMS 2022a, 2020). Despite the requirement, the</w:t>
      </w:r>
      <w:r w:rsidR="006B5666">
        <w:t xml:space="preserve">re </w:t>
      </w:r>
      <w:r w:rsidR="00E71342">
        <w:t>was</w:t>
      </w:r>
      <w:r w:rsidR="006B5666">
        <w:t xml:space="preserve"> state variation in the</w:t>
      </w:r>
      <w:r w:rsidRPr="00EE0AFC">
        <w:t xml:space="preserve"> share of </w:t>
      </w:r>
      <w:r w:rsidR="006B5666">
        <w:t xml:space="preserve">ex parte </w:t>
      </w:r>
      <w:r w:rsidRPr="00EE0AFC">
        <w:t>renewals (Brooks et al., 2023, Musumeci et al. 2022).</w:t>
      </w:r>
      <w:r w:rsidR="00787183">
        <w:t xml:space="preserve"> </w:t>
      </w:r>
      <w:r w:rsidR="008058BF" w:rsidRPr="00EE0AFC">
        <w:t>States renewed coverage for 58.4 percent of all enrollees, and almost 20 percent of renewals</w:t>
      </w:r>
      <w:r w:rsidR="008058BF">
        <w:t xml:space="preserve"> we</w:t>
      </w:r>
      <w:r w:rsidR="008058BF" w:rsidRPr="00EE0AFC">
        <w:t xml:space="preserve">re still pending as of June 2024. </w:t>
      </w:r>
      <w:r w:rsidR="00787183">
        <w:t>Over the course of the unwinding period,</w:t>
      </w:r>
      <w:r w:rsidRPr="00EE0AFC">
        <w:t xml:space="preserve"> about 37.6 percent </w:t>
      </w:r>
      <w:r w:rsidR="00787183">
        <w:t>renewals occurred</w:t>
      </w:r>
      <w:r w:rsidRPr="00EE0AFC">
        <w:t xml:space="preserve"> via ex parte</w:t>
      </w:r>
      <w:r w:rsidR="008058BF">
        <w:t>, T</w:t>
      </w:r>
      <w:r w:rsidRPr="00EE0AFC">
        <w:t xml:space="preserve">his rate varied by state and </w:t>
      </w:r>
      <w:r w:rsidR="00787183">
        <w:t>fluctuated month to month.</w:t>
      </w:r>
      <w:r w:rsidRPr="00EE0AFC">
        <w:t xml:space="preserve"> </w:t>
      </w:r>
      <w:r w:rsidR="00A764C3">
        <w:t>Nationally</w:t>
      </w:r>
      <w:r w:rsidR="00A775F5" w:rsidRPr="00EE0AFC">
        <w:t xml:space="preserve">, the average percent of renewals on an ex-parte basis </w:t>
      </w:r>
      <w:r w:rsidR="00A764C3">
        <w:t xml:space="preserve">increased </w:t>
      </w:r>
      <w:r w:rsidR="00A764C3" w:rsidRPr="00EE0AFC">
        <w:t xml:space="preserve">from about 55.8 percent </w:t>
      </w:r>
      <w:r w:rsidR="007821F1">
        <w:t xml:space="preserve">in April 2023 </w:t>
      </w:r>
      <w:r w:rsidR="00A764C3" w:rsidRPr="00EE0AFC">
        <w:t xml:space="preserve">to 75.1 percent </w:t>
      </w:r>
      <w:r w:rsidR="007821F1">
        <w:t>in June 2024 (</w:t>
      </w:r>
      <w:r w:rsidRPr="00EE0AFC">
        <w:t>Figure 1).</w:t>
      </w:r>
      <w:r>
        <w:t xml:space="preserve"> </w:t>
      </w:r>
    </w:p>
    <w:p w14:paraId="6D820B5C" w14:textId="77777777" w:rsidR="00B53665" w:rsidRDefault="00B53665" w:rsidP="00B53665">
      <w:pPr>
        <w:pStyle w:val="TableNotes"/>
      </w:pPr>
    </w:p>
    <w:p w14:paraId="30FAA9D4" w14:textId="4B168A07" w:rsidR="00B53665" w:rsidRDefault="00B53665" w:rsidP="00B53665">
      <w:pPr>
        <w:pStyle w:val="Caption"/>
      </w:pPr>
      <w:r w:rsidRPr="00362B1D">
        <w:rPr>
          <w:b/>
        </w:rPr>
        <w:lastRenderedPageBreak/>
        <w:t>FIGURE 1.</w:t>
      </w:r>
      <w:r w:rsidRPr="00362B1D">
        <w:t xml:space="preserve"> Total </w:t>
      </w:r>
      <w:r w:rsidR="007C2184">
        <w:t xml:space="preserve">Medicaid and CHIP </w:t>
      </w:r>
      <w:r w:rsidRPr="00362B1D">
        <w:t>Renewals and Percent</w:t>
      </w:r>
      <w:r>
        <w:t xml:space="preserve"> Renewed on an Ex-Parte Basis by Month, </w:t>
      </w:r>
      <w:r w:rsidR="00DF6A2E" w:rsidRPr="00DF6A2E">
        <w:t>April 2023-</w:t>
      </w:r>
      <w:r w:rsidR="00DF6A2E">
        <w:t>June</w:t>
      </w:r>
      <w:r w:rsidR="00DF6A2E" w:rsidRPr="00DF6A2E">
        <w:t xml:space="preserve"> 2024</w:t>
      </w:r>
    </w:p>
    <w:p w14:paraId="650F507F" w14:textId="5EDA344A" w:rsidR="00362B1D" w:rsidRDefault="00362B1D" w:rsidP="00B53665">
      <w:pPr>
        <w:pStyle w:val="Caption"/>
      </w:pPr>
      <w:r>
        <w:rPr>
          <w:noProof/>
        </w:rPr>
        <w:drawing>
          <wp:inline distT="0" distB="0" distL="0" distR="0" wp14:anchorId="7414EBF3" wp14:editId="29E647EA">
            <wp:extent cx="6264729" cy="2872740"/>
            <wp:effectExtent l="0" t="0" r="3175" b="3810"/>
            <wp:docPr id="3" name="Chart 3">
              <a:extLst xmlns:a="http://schemas.openxmlformats.org/drawingml/2006/main">
                <a:ext uri="{FF2B5EF4-FFF2-40B4-BE49-F238E27FC236}">
                  <a16:creationId xmlns:a16="http://schemas.microsoft.com/office/drawing/2014/main" id="{5520790D-E4FB-4233-885A-5B1BC2EB82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4850C39" w14:textId="61CC3FD1" w:rsidR="007C2184" w:rsidRPr="007C2184" w:rsidRDefault="007C2184" w:rsidP="00B53665">
      <w:pPr>
        <w:pStyle w:val="TableNotes"/>
      </w:pPr>
      <w:r>
        <w:rPr>
          <w:b/>
        </w:rPr>
        <w:t xml:space="preserve">Notes: </w:t>
      </w:r>
      <w:r>
        <w:t xml:space="preserve"> CHIP is the </w:t>
      </w:r>
      <w:r w:rsidR="002E0B6C">
        <w:t xml:space="preserve">State </w:t>
      </w:r>
      <w:r>
        <w:t>Children’s Health Insurance Program.</w:t>
      </w:r>
    </w:p>
    <w:p w14:paraId="352E3170" w14:textId="6429471D" w:rsidR="00B53665" w:rsidRDefault="00B53665" w:rsidP="00B53665">
      <w:pPr>
        <w:pStyle w:val="TableNotes"/>
      </w:pPr>
      <w:r w:rsidRPr="00DE53E6">
        <w:rPr>
          <w:b/>
        </w:rPr>
        <w:t>Sources:</w:t>
      </w:r>
      <w:r w:rsidRPr="00DE53E6">
        <w:t xml:space="preserve"> CMS </w:t>
      </w:r>
      <w:r>
        <w:t>2024</w:t>
      </w:r>
      <w:r w:rsidR="00FA5939">
        <w:t>f</w:t>
      </w:r>
      <w:r>
        <w:t>, 2024</w:t>
      </w:r>
      <w:r w:rsidR="00FA5939">
        <w:t>g</w:t>
      </w:r>
      <w:r>
        <w:t xml:space="preserve">; MACPAC 2024b. </w:t>
      </w:r>
    </w:p>
    <w:p w14:paraId="55C615F6" w14:textId="2B456578" w:rsidR="00EE0AFC" w:rsidRDefault="00EE0AFC" w:rsidP="00B53665">
      <w:pPr>
        <w:pStyle w:val="TableNotes"/>
      </w:pPr>
    </w:p>
    <w:p w14:paraId="17A817CA" w14:textId="3DCA0A84" w:rsidR="00EE0AFC" w:rsidRDefault="00EE0AFC" w:rsidP="00EE0AFC">
      <w:r w:rsidRPr="00EE0AFC">
        <w:rPr>
          <w:rStyle w:val="Heading3Char"/>
        </w:rPr>
        <w:t>Procedural disenrollment.</w:t>
      </w:r>
      <w:r>
        <w:t xml:space="preserve"> During the unwinding</w:t>
      </w:r>
      <w:r w:rsidR="00B65EC9">
        <w:t xml:space="preserve"> period</w:t>
      </w:r>
      <w:r>
        <w:t xml:space="preserve">, CMS monitored the rates of procedural </w:t>
      </w:r>
      <w:r w:rsidR="00A764C3">
        <w:t>disenrollment</w:t>
      </w:r>
      <w:r>
        <w:t xml:space="preserve"> since </w:t>
      </w:r>
      <w:r w:rsidRPr="004003FF">
        <w:t xml:space="preserve">a high rate of procedural terminations may indicate that beneficiaries </w:t>
      </w:r>
      <w:r w:rsidR="00B65EC9">
        <w:t>are</w:t>
      </w:r>
      <w:r w:rsidRPr="004003FF">
        <w:t xml:space="preserve"> not receiving notices, unable to understand them, or unable to submit their renewal through the required modalities</w:t>
      </w:r>
      <w:r>
        <w:t xml:space="preserve"> (CMS 2023</w:t>
      </w:r>
      <w:r w:rsidR="00B82603">
        <w:t>d</w:t>
      </w:r>
      <w:r>
        <w:t xml:space="preserve">). Of all terminations during the unwinding period, about 68.7 percent were terminated for </w:t>
      </w:r>
      <w:r w:rsidR="00A764C3">
        <w:t xml:space="preserve">a </w:t>
      </w:r>
      <w:r>
        <w:t>procedural reason. Across the unwinding period, the rate of procedural disenrollment decreased</w:t>
      </w:r>
      <w:r w:rsidRPr="00860274">
        <w:t xml:space="preserve"> from 79</w:t>
      </w:r>
      <w:r>
        <w:t>.3</w:t>
      </w:r>
      <w:r w:rsidRPr="00860274">
        <w:t xml:space="preserve"> percent to 65</w:t>
      </w:r>
      <w:r>
        <w:t>.3</w:t>
      </w:r>
      <w:r w:rsidRPr="00860274">
        <w:t xml:space="preserve"> percent (Figure 2).</w:t>
      </w:r>
      <w:r w:rsidRPr="00860274">
        <w:rPr>
          <w:rStyle w:val="EndnoteReference"/>
        </w:rPr>
        <w:endnoteReference w:id="5"/>
      </w:r>
    </w:p>
    <w:p w14:paraId="482B6363" w14:textId="52D4B4C1" w:rsidR="00B53665" w:rsidRDefault="00B53665" w:rsidP="00B53665">
      <w:pPr>
        <w:pStyle w:val="Caption"/>
      </w:pPr>
      <w:r w:rsidRPr="00860274">
        <w:rPr>
          <w:b/>
        </w:rPr>
        <w:lastRenderedPageBreak/>
        <w:t>FIGURE 2.</w:t>
      </w:r>
      <w:r w:rsidRPr="00860274">
        <w:t xml:space="preserve"> Total </w:t>
      </w:r>
      <w:r w:rsidR="005B014F">
        <w:t xml:space="preserve">Medicaid and CHIP </w:t>
      </w:r>
      <w:r w:rsidRPr="00860274">
        <w:t>Terminations and</w:t>
      </w:r>
      <w:r>
        <w:t xml:space="preserve"> Percent Procedurally Disenrolled by Month, </w:t>
      </w:r>
      <w:r w:rsidR="00DF6A2E" w:rsidRPr="00DF6A2E">
        <w:t>April 2023-</w:t>
      </w:r>
      <w:r w:rsidR="00DF6A2E">
        <w:t>June</w:t>
      </w:r>
      <w:r w:rsidR="00DF6A2E" w:rsidRPr="00DF6A2E">
        <w:t xml:space="preserve"> 2024</w:t>
      </w:r>
    </w:p>
    <w:p w14:paraId="6AB62C28" w14:textId="2713D603" w:rsidR="00860274" w:rsidRDefault="00860274" w:rsidP="00B53665">
      <w:pPr>
        <w:pStyle w:val="Caption"/>
      </w:pPr>
      <w:r>
        <w:rPr>
          <w:noProof/>
        </w:rPr>
        <w:drawing>
          <wp:inline distT="0" distB="0" distL="0" distR="0" wp14:anchorId="3F05EAB6" wp14:editId="349F7ED8">
            <wp:extent cx="6400800" cy="2706370"/>
            <wp:effectExtent l="0" t="0" r="0" b="17780"/>
            <wp:docPr id="7" name="Chart 7">
              <a:extLst xmlns:a="http://schemas.openxmlformats.org/drawingml/2006/main">
                <a:ext uri="{FF2B5EF4-FFF2-40B4-BE49-F238E27FC236}">
                  <a16:creationId xmlns:a16="http://schemas.microsoft.com/office/drawing/2014/main" id="{3E78FE8F-F386-4294-B8B4-FC75D4D43C8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BF414B5" w14:textId="2AE7DB21" w:rsidR="008D4414" w:rsidRPr="008D4414" w:rsidRDefault="008D4414" w:rsidP="00B53665">
      <w:pPr>
        <w:pStyle w:val="TableNotes"/>
      </w:pPr>
      <w:r>
        <w:rPr>
          <w:b/>
        </w:rPr>
        <w:t xml:space="preserve">Notes: </w:t>
      </w:r>
      <w:r w:rsidR="008058BF" w:rsidRPr="008058BF">
        <w:t>CHIP is</w:t>
      </w:r>
      <w:r w:rsidR="00F71D3A">
        <w:t xml:space="preserve"> the </w:t>
      </w:r>
      <w:r w:rsidR="001D71A0">
        <w:t xml:space="preserve">State </w:t>
      </w:r>
      <w:r w:rsidR="00F71D3A">
        <w:t>Children’s Health Insurance Program</w:t>
      </w:r>
      <w:r w:rsidR="007C2184">
        <w:t xml:space="preserve">. </w:t>
      </w:r>
      <w:r>
        <w:t xml:space="preserve">Figure displays </w:t>
      </w:r>
      <w:r w:rsidR="0012392B">
        <w:t>average</w:t>
      </w:r>
      <w:r>
        <w:t xml:space="preserve"> procedurally terminated </w:t>
      </w:r>
      <w:r w:rsidR="0012392B">
        <w:t xml:space="preserve">across all </w:t>
      </w:r>
      <w:r w:rsidR="001D71A0">
        <w:t xml:space="preserve">50 </w:t>
      </w:r>
      <w:r w:rsidR="0012392B">
        <w:t xml:space="preserve">states and the District of Columbia </w:t>
      </w:r>
      <w:r>
        <w:t>as a percentage of the total terminated from Medicaid and CHIP each month.</w:t>
      </w:r>
    </w:p>
    <w:p w14:paraId="216FC696" w14:textId="7929736E" w:rsidR="00B53665" w:rsidRDefault="00B53665" w:rsidP="00B53665">
      <w:pPr>
        <w:pStyle w:val="TableNotes"/>
      </w:pPr>
      <w:r w:rsidRPr="00DE53E6">
        <w:rPr>
          <w:b/>
        </w:rPr>
        <w:t>Sources:</w:t>
      </w:r>
      <w:r w:rsidRPr="00DE53E6">
        <w:t xml:space="preserve"> CMS </w:t>
      </w:r>
      <w:r>
        <w:t>2024</w:t>
      </w:r>
      <w:r w:rsidR="00FA5939">
        <w:t>f</w:t>
      </w:r>
      <w:r>
        <w:t>, 2024</w:t>
      </w:r>
      <w:r w:rsidR="00FA5939">
        <w:t>g</w:t>
      </w:r>
      <w:r>
        <w:t>; MACPAC 2024b.</w:t>
      </w:r>
    </w:p>
    <w:p w14:paraId="58222063" w14:textId="77777777" w:rsidR="00B53665" w:rsidRPr="009C2EFF" w:rsidRDefault="00B53665" w:rsidP="009C2EFF">
      <w:pPr>
        <w:pStyle w:val="Heading1"/>
      </w:pPr>
      <w:r w:rsidRPr="009C2EFF">
        <w:rPr>
          <w:rStyle w:val="Heading3Char"/>
          <w:rFonts w:cs="Times New Roman"/>
          <w:b/>
          <w:bCs/>
          <w:iCs w:val="0"/>
          <w:color w:val="008170"/>
        </w:rPr>
        <w:t>Transitions in Coverage</w:t>
      </w:r>
    </w:p>
    <w:p w14:paraId="1E832027" w14:textId="514F029B" w:rsidR="000F146C" w:rsidRDefault="00994E99" w:rsidP="00A24A57">
      <w:r>
        <w:t>If an individual</w:t>
      </w:r>
      <w:r w:rsidR="001F7F9E">
        <w:t xml:space="preserve"> is found ineligible for Medicaid but</w:t>
      </w:r>
      <w:r>
        <w:t xml:space="preserve"> potentially eligible for another insurance affordability program, the state Medicaid agency </w:t>
      </w:r>
      <w:r w:rsidR="001F7F9E">
        <w:t>must</w:t>
      </w:r>
      <w:r>
        <w:t xml:space="preserve"> transfer the individual’s account information to the appropriate program (</w:t>
      </w:r>
      <w:r w:rsidRPr="003169CD">
        <w:t>42 CFR § 435.1200</w:t>
      </w:r>
      <w:r>
        <w:t xml:space="preserve">). </w:t>
      </w:r>
      <w:r w:rsidR="000F146C">
        <w:t xml:space="preserve">In states with the </w:t>
      </w:r>
      <w:r w:rsidR="00B65EC9">
        <w:t>FFM,</w:t>
      </w:r>
      <w:r w:rsidR="000F146C">
        <w:t xml:space="preserve"> the Medicaid and CHIP agencies are required to transfer the account information </w:t>
      </w:r>
      <w:r w:rsidR="008034D3">
        <w:t xml:space="preserve">of individuals who are determined ineligible for Medicaid or CHIP </w:t>
      </w:r>
      <w:r w:rsidR="000F146C">
        <w:t xml:space="preserve">to facilitate the transition to marketplace coverage. Similarly, in states with SBMs, state Medicaid and CHIP agencies are required to transfer account information for individuals determined ineligible. However, this process differs between states with and without </w:t>
      </w:r>
      <w:r w:rsidR="00431BF4">
        <w:t xml:space="preserve">integrated eligibility systems. </w:t>
      </w:r>
      <w:r w:rsidR="000F146C">
        <w:t xml:space="preserve">Some SBMs have fully integrated </w:t>
      </w:r>
      <w:r w:rsidR="00BC6368">
        <w:t>m</w:t>
      </w:r>
      <w:r w:rsidR="000F146C">
        <w:t>arketplace and modified adjusted gross income (MAGI)-Medicaid and CHIP eligibility systems</w:t>
      </w:r>
      <w:r w:rsidR="00431BF4">
        <w:t>, and in these states</w:t>
      </w:r>
      <w:r w:rsidR="000F146C">
        <w:t>, individuals who are not eligible for Medicaid or CHIP have their account transferred to the SBM without requiring the individual to submit a new application. In states with</w:t>
      </w:r>
      <w:r w:rsidR="00431BF4">
        <w:t xml:space="preserve"> </w:t>
      </w:r>
      <w:r w:rsidR="0091480B">
        <w:t>an</w:t>
      </w:r>
      <w:r w:rsidR="00431BF4">
        <w:t xml:space="preserve"> </w:t>
      </w:r>
      <w:r w:rsidR="000F146C">
        <w:t xml:space="preserve">SBM that </w:t>
      </w:r>
      <w:r w:rsidR="00431BF4">
        <w:t xml:space="preserve">is </w:t>
      </w:r>
      <w:r w:rsidR="000F146C">
        <w:t xml:space="preserve">not integrated with the Medicaid and CHIP eligibility systems, individuals who have their accounts transferred need to submit an application for marketplace coverage. </w:t>
      </w:r>
    </w:p>
    <w:p w14:paraId="638AD0DE" w14:textId="6E922D15" w:rsidR="00C55434" w:rsidRDefault="001D71A0" w:rsidP="00A24A57">
      <w:r>
        <w:t>D</w:t>
      </w:r>
      <w:r w:rsidR="00A24A57">
        <w:t xml:space="preserve">ata from the unwinding period indicate that </w:t>
      </w:r>
      <w:r w:rsidR="00994E99">
        <w:t>the percent</w:t>
      </w:r>
      <w:r w:rsidR="00E71342">
        <w:t>age</w:t>
      </w:r>
      <w:r w:rsidR="00994E99">
        <w:t xml:space="preserve"> of individuals</w:t>
      </w:r>
      <w:r w:rsidR="00C55434">
        <w:t xml:space="preserve"> determined </w:t>
      </w:r>
      <w:r w:rsidR="00994E99">
        <w:t xml:space="preserve">ineligible for Medicaid </w:t>
      </w:r>
      <w:r w:rsidR="007877C4">
        <w:t xml:space="preserve">and CHIP </w:t>
      </w:r>
      <w:r w:rsidR="00994E99">
        <w:t xml:space="preserve">who were </w:t>
      </w:r>
      <w:r w:rsidR="00C55434">
        <w:t>also determined</w:t>
      </w:r>
      <w:r w:rsidR="00994E99">
        <w:t xml:space="preserve"> eligible for </w:t>
      </w:r>
      <w:r w:rsidR="001469C8">
        <w:t>marketplace</w:t>
      </w:r>
      <w:r w:rsidR="00994E99">
        <w:t xml:space="preserve"> coverage with financial assistance differed among those enrolled in states with FFM and those enrolled in SBM with and without integrated systems. </w:t>
      </w:r>
      <w:r w:rsidR="00C24367">
        <w:t>T</w:t>
      </w:r>
      <w:r w:rsidR="00C55434">
        <w:t>he percent</w:t>
      </w:r>
      <w:r w:rsidR="00E71342">
        <w:t>age</w:t>
      </w:r>
      <w:r w:rsidR="00C55434">
        <w:t xml:space="preserve"> eligible for </w:t>
      </w:r>
      <w:r w:rsidR="001469C8">
        <w:t>marketplace</w:t>
      </w:r>
      <w:r w:rsidR="00C55434">
        <w:t xml:space="preserve"> coverage and financial assistance was greater in states with SBM (37.3 percent in states with integrated systems and 33.0 percent in those without)</w:t>
      </w:r>
      <w:r w:rsidR="00B65EC9">
        <w:t xml:space="preserve"> than in states with FFM (18.9 percent)</w:t>
      </w:r>
      <w:r w:rsidR="00EF2413">
        <w:t xml:space="preserve"> (Table 2)</w:t>
      </w:r>
      <w:r w:rsidR="00C55434">
        <w:t>.</w:t>
      </w:r>
    </w:p>
    <w:p w14:paraId="190785D4" w14:textId="7E18D8FF" w:rsidR="00A24A57" w:rsidRPr="00A24A57" w:rsidRDefault="00A24A57" w:rsidP="00A24A57">
      <w:pPr>
        <w:pStyle w:val="Heading2"/>
      </w:pPr>
      <w:r>
        <w:t>Transitions to</w:t>
      </w:r>
      <w:r w:rsidR="001469C8">
        <w:t xml:space="preserve"> the</w:t>
      </w:r>
      <w:r>
        <w:t xml:space="preserve"> f</w:t>
      </w:r>
      <w:r w:rsidR="001469C8">
        <w:t>ederally facilitated</w:t>
      </w:r>
      <w:r>
        <w:t xml:space="preserve"> and state-based </w:t>
      </w:r>
      <w:r w:rsidR="001469C8">
        <w:t>marketplace</w:t>
      </w:r>
    </w:p>
    <w:p w14:paraId="0E335ABC" w14:textId="261D3CF4" w:rsidR="00FA0702" w:rsidRDefault="00BF16AA" w:rsidP="003169CD">
      <w:r>
        <w:t>As of April 2024, i</w:t>
      </w:r>
      <w:r w:rsidR="00FA0702" w:rsidRPr="00821DEA">
        <w:t xml:space="preserve">n the 33 states that use the </w:t>
      </w:r>
      <w:r w:rsidR="001469C8">
        <w:t>FFM</w:t>
      </w:r>
      <w:r w:rsidR="00FA0702" w:rsidRPr="00821DEA">
        <w:t xml:space="preserve">, </w:t>
      </w:r>
      <w:r w:rsidR="00FA0702" w:rsidRPr="008E5777">
        <w:t>about 5.</w:t>
      </w:r>
      <w:r w:rsidR="008E5777" w:rsidRPr="008E5777">
        <w:t>6</w:t>
      </w:r>
      <w:r w:rsidR="00FA0702" w:rsidRPr="008E5777">
        <w:t xml:space="preserve"> million individuals who lost Medicaid coverage had their account transferred to the </w:t>
      </w:r>
      <w:r w:rsidR="001469C8">
        <w:t>FFM</w:t>
      </w:r>
      <w:r w:rsidR="00FA0702" w:rsidRPr="008E5777">
        <w:t xml:space="preserve"> (Table 2).</w:t>
      </w:r>
      <w:r w:rsidR="00FA0702" w:rsidRPr="008E5777">
        <w:rPr>
          <w:rStyle w:val="EndnoteReference"/>
        </w:rPr>
        <w:endnoteReference w:id="6"/>
      </w:r>
      <w:r w:rsidR="00FA0702" w:rsidRPr="008E5777">
        <w:t xml:space="preserve"> Of these individuals,</w:t>
      </w:r>
      <w:r w:rsidR="00C55434">
        <w:t xml:space="preserve"> almost a quarter submitted a </w:t>
      </w:r>
      <w:r w:rsidR="001469C8">
        <w:t xml:space="preserve">marketplace </w:t>
      </w:r>
      <w:r w:rsidR="00C55434">
        <w:t>application and were determined eligible</w:t>
      </w:r>
      <w:r w:rsidR="00BB38BD">
        <w:t xml:space="preserve"> for </w:t>
      </w:r>
      <w:r w:rsidR="001469C8">
        <w:t xml:space="preserve">marketplace </w:t>
      </w:r>
      <w:r w:rsidR="00BB38BD">
        <w:t>coverage.</w:t>
      </w:r>
      <w:r w:rsidR="00BB38BD">
        <w:rPr>
          <w:rStyle w:val="EndnoteReference"/>
        </w:rPr>
        <w:endnoteReference w:id="7"/>
      </w:r>
      <w:r w:rsidR="00BB38BD">
        <w:t xml:space="preserve"> </w:t>
      </w:r>
      <w:r w:rsidR="00E9073C">
        <w:t>O</w:t>
      </w:r>
      <w:r w:rsidR="00BB38BD">
        <w:t xml:space="preserve">f those who had their accounts transferred </w:t>
      </w:r>
      <w:r w:rsidR="00BB38BD">
        <w:lastRenderedPageBreak/>
        <w:t xml:space="preserve">to the </w:t>
      </w:r>
      <w:r w:rsidR="001469C8">
        <w:t>FFM</w:t>
      </w:r>
      <w:r w:rsidR="00BB38BD">
        <w:t xml:space="preserve">, </w:t>
      </w:r>
      <w:r w:rsidR="00C55434">
        <w:t>about 16.7 percent</w:t>
      </w:r>
      <w:r w:rsidR="00FA0702" w:rsidRPr="008E5777">
        <w:t xml:space="preserve"> selected </w:t>
      </w:r>
      <w:r w:rsidR="00B65EC9">
        <w:t>a marketplace</w:t>
      </w:r>
      <w:r w:rsidR="00FA0702" w:rsidRPr="008E5777">
        <w:t xml:space="preserve"> pla</w:t>
      </w:r>
      <w:r w:rsidR="00C05A20">
        <w:t>n</w:t>
      </w:r>
      <w:r w:rsidR="00FA0702" w:rsidRPr="008E5777">
        <w:t xml:space="preserve">. In the remaining 17 states and the District of Columbia, which operate </w:t>
      </w:r>
      <w:r w:rsidR="00E71342">
        <w:t xml:space="preserve">an </w:t>
      </w:r>
      <w:r w:rsidR="00A764C3">
        <w:t>SBM</w:t>
      </w:r>
      <w:r w:rsidR="007877C4">
        <w:t xml:space="preserve"> (with and without an integrated system)</w:t>
      </w:r>
      <w:r w:rsidR="00FA0702" w:rsidRPr="008E5777">
        <w:t xml:space="preserve">, </w:t>
      </w:r>
      <w:r w:rsidR="00142D86">
        <w:t>about 13.2 percent of</w:t>
      </w:r>
      <w:r w:rsidR="00FA0702" w:rsidRPr="008E5777">
        <w:t xml:space="preserve"> applicants</w:t>
      </w:r>
      <w:r w:rsidR="00142D86">
        <w:t xml:space="preserve"> </w:t>
      </w:r>
      <w:r w:rsidR="00FA0702" w:rsidRPr="008E5777">
        <w:t>selected a</w:t>
      </w:r>
      <w:r w:rsidR="00B65EC9">
        <w:t xml:space="preserve"> marketplace plan </w:t>
      </w:r>
      <w:r>
        <w:t>(Table 2).</w:t>
      </w:r>
    </w:p>
    <w:p w14:paraId="2B9B6514" w14:textId="01652ED1" w:rsidR="00B53665" w:rsidRDefault="00B53665" w:rsidP="00B53665">
      <w:pPr>
        <w:pStyle w:val="Caption"/>
      </w:pPr>
      <w:r w:rsidRPr="008E5777">
        <w:rPr>
          <w:b/>
        </w:rPr>
        <w:t xml:space="preserve">TABLE 2. </w:t>
      </w:r>
      <w:r w:rsidRPr="008E5777">
        <w:t xml:space="preserve">Initial Data on Medicaid </w:t>
      </w:r>
      <w:r w:rsidR="007877C4">
        <w:t xml:space="preserve">and CHIP </w:t>
      </w:r>
      <w:r w:rsidR="001D71A0">
        <w:t>A</w:t>
      </w:r>
      <w:r w:rsidR="007877C4">
        <w:t xml:space="preserve">ccount </w:t>
      </w:r>
      <w:r w:rsidR="001D71A0">
        <w:t>T</w:t>
      </w:r>
      <w:r w:rsidR="007877C4">
        <w:t xml:space="preserve">ransfers </w:t>
      </w:r>
      <w:r w:rsidRPr="008E5777">
        <w:t xml:space="preserve">to </w:t>
      </w:r>
      <w:r w:rsidR="001469C8">
        <w:t>Marketplace</w:t>
      </w:r>
      <w:r w:rsidRPr="00821DEA">
        <w:t xml:space="preserve"> Coverage, by </w:t>
      </w:r>
      <w:r w:rsidR="001469C8">
        <w:t>Ty</w:t>
      </w:r>
      <w:r w:rsidRPr="00821DEA">
        <w:t xml:space="preserve">pe of </w:t>
      </w:r>
      <w:r w:rsidR="001469C8">
        <w:t>Marketplace</w:t>
      </w:r>
      <w:r w:rsidRPr="00821DEA">
        <w:t>, 2023</w:t>
      </w:r>
      <w:r>
        <w:t>-2024</w:t>
      </w:r>
    </w:p>
    <w:tbl>
      <w:tblPr>
        <w:tblW w:w="10360" w:type="dxa"/>
        <w:tblLayout w:type="fixed"/>
        <w:tblCellMar>
          <w:top w:w="58" w:type="dxa"/>
          <w:left w:w="115" w:type="dxa"/>
          <w:bottom w:w="58" w:type="dxa"/>
          <w:right w:w="115" w:type="dxa"/>
        </w:tblCellMar>
        <w:tblLook w:val="04A0" w:firstRow="1" w:lastRow="0" w:firstColumn="1" w:lastColumn="0" w:noHBand="0" w:noVBand="1"/>
      </w:tblPr>
      <w:tblGrid>
        <w:gridCol w:w="2083"/>
        <w:gridCol w:w="1379"/>
        <w:gridCol w:w="1364"/>
        <w:gridCol w:w="16"/>
        <w:gridCol w:w="1379"/>
        <w:gridCol w:w="1329"/>
        <w:gridCol w:w="51"/>
        <w:gridCol w:w="1379"/>
        <w:gridCol w:w="1380"/>
      </w:tblGrid>
      <w:tr w:rsidR="006F32F1" w:rsidRPr="008E5777" w14:paraId="3A9CB825" w14:textId="77777777" w:rsidTr="006F32F1">
        <w:trPr>
          <w:trHeight w:val="327"/>
        </w:trPr>
        <w:tc>
          <w:tcPr>
            <w:tcW w:w="2083" w:type="dxa"/>
            <w:vMerge w:val="restart"/>
            <w:tcBorders>
              <w:top w:val="single" w:sz="8" w:space="0" w:color="CBD0D2"/>
              <w:left w:val="single" w:sz="8" w:space="0" w:color="CBD0D2"/>
              <w:bottom w:val="single" w:sz="8" w:space="0" w:color="CBD0D2"/>
              <w:right w:val="single" w:sz="8" w:space="0" w:color="CBD0D2"/>
            </w:tcBorders>
            <w:shd w:val="clear" w:color="000000" w:fill="40434B"/>
            <w:vAlign w:val="bottom"/>
            <w:hideMark/>
          </w:tcPr>
          <w:p w14:paraId="0B270EC7" w14:textId="77777777" w:rsidR="008E5777" w:rsidRPr="008E5777" w:rsidRDefault="008E5777" w:rsidP="006F32F1">
            <w:pPr>
              <w:spacing w:after="0"/>
              <w:rPr>
                <w:rFonts w:eastAsia="Times New Roman" w:cs="Arial"/>
                <w:b/>
                <w:bCs/>
                <w:color w:val="FFFFFF"/>
              </w:rPr>
            </w:pPr>
            <w:r w:rsidRPr="008E5777">
              <w:rPr>
                <w:rFonts w:eastAsia="Times New Roman" w:cs="Arial"/>
                <w:b/>
                <w:bCs/>
                <w:color w:val="FFFFFF"/>
              </w:rPr>
              <w:t>Step in coverage transition</w:t>
            </w:r>
          </w:p>
        </w:tc>
        <w:tc>
          <w:tcPr>
            <w:tcW w:w="2743" w:type="dxa"/>
            <w:gridSpan w:val="2"/>
            <w:tcBorders>
              <w:top w:val="single" w:sz="8" w:space="0" w:color="CBD0D2"/>
              <w:left w:val="nil"/>
              <w:bottom w:val="nil"/>
              <w:right w:val="single" w:sz="8" w:space="0" w:color="CBD0D2"/>
            </w:tcBorders>
            <w:shd w:val="clear" w:color="000000" w:fill="40434B"/>
            <w:vAlign w:val="bottom"/>
            <w:hideMark/>
          </w:tcPr>
          <w:p w14:paraId="7EBDCEC7" w14:textId="490407B7" w:rsidR="001469C8" w:rsidRDefault="001469C8" w:rsidP="006F32F1">
            <w:pPr>
              <w:spacing w:after="0"/>
              <w:jc w:val="center"/>
              <w:rPr>
                <w:rFonts w:eastAsia="Times New Roman" w:cs="Arial"/>
                <w:b/>
                <w:bCs/>
                <w:color w:val="FFFFFF"/>
              </w:rPr>
            </w:pPr>
            <w:r>
              <w:rPr>
                <w:rFonts w:eastAsia="Times New Roman" w:cs="Arial"/>
                <w:b/>
                <w:bCs/>
                <w:color w:val="FFFFFF"/>
              </w:rPr>
              <w:t>FFM</w:t>
            </w:r>
          </w:p>
          <w:p w14:paraId="746E9386" w14:textId="6F6487E2" w:rsidR="008E5777" w:rsidRPr="008E5777" w:rsidRDefault="001469C8" w:rsidP="006F32F1">
            <w:pPr>
              <w:spacing w:after="0"/>
              <w:jc w:val="center"/>
              <w:rPr>
                <w:rFonts w:eastAsia="Times New Roman" w:cs="Arial"/>
                <w:b/>
                <w:bCs/>
                <w:color w:val="FFFFFF"/>
              </w:rPr>
            </w:pPr>
            <w:r>
              <w:rPr>
                <w:rFonts w:eastAsia="Times New Roman" w:cs="Arial"/>
                <w:b/>
                <w:bCs/>
                <w:color w:val="FFFFFF"/>
              </w:rPr>
              <w:t>(April 2023-April 2024)</w:t>
            </w:r>
          </w:p>
        </w:tc>
        <w:tc>
          <w:tcPr>
            <w:tcW w:w="2724" w:type="dxa"/>
            <w:gridSpan w:val="3"/>
            <w:tcBorders>
              <w:top w:val="nil"/>
              <w:left w:val="nil"/>
              <w:bottom w:val="nil"/>
              <w:right w:val="single" w:sz="8" w:space="0" w:color="CBD0D2"/>
            </w:tcBorders>
            <w:shd w:val="clear" w:color="000000" w:fill="40434B"/>
            <w:vAlign w:val="bottom"/>
            <w:hideMark/>
          </w:tcPr>
          <w:p w14:paraId="6737F302" w14:textId="77777777" w:rsidR="008E5777" w:rsidRDefault="001469C8" w:rsidP="006F32F1">
            <w:pPr>
              <w:spacing w:after="0"/>
              <w:jc w:val="center"/>
              <w:rPr>
                <w:rFonts w:eastAsia="Times New Roman" w:cs="Arial"/>
                <w:b/>
                <w:bCs/>
                <w:color w:val="FFFFFF"/>
              </w:rPr>
            </w:pPr>
            <w:r>
              <w:rPr>
                <w:rFonts w:eastAsia="Times New Roman" w:cs="Arial"/>
                <w:b/>
                <w:bCs/>
                <w:color w:val="FFFFFF"/>
              </w:rPr>
              <w:t>SBM</w:t>
            </w:r>
            <w:r w:rsidR="008E5777" w:rsidRPr="008E5777">
              <w:rPr>
                <w:rFonts w:eastAsia="Times New Roman" w:cs="Arial"/>
                <w:b/>
                <w:bCs/>
                <w:color w:val="FFFFFF"/>
              </w:rPr>
              <w:t xml:space="preserve"> with account transfers</w:t>
            </w:r>
          </w:p>
          <w:p w14:paraId="511E7477" w14:textId="68727AFA" w:rsidR="001469C8" w:rsidRPr="008E5777" w:rsidRDefault="001469C8" w:rsidP="006F32F1">
            <w:pPr>
              <w:spacing w:after="0"/>
              <w:jc w:val="center"/>
              <w:rPr>
                <w:rFonts w:eastAsia="Times New Roman" w:cs="Arial"/>
                <w:b/>
                <w:bCs/>
                <w:color w:val="FFFFFF"/>
              </w:rPr>
            </w:pPr>
            <w:r w:rsidRPr="008E5777">
              <w:rPr>
                <w:rFonts w:eastAsia="Times New Roman" w:cs="Arial"/>
                <w:b/>
                <w:bCs/>
                <w:color w:val="FFFFFF"/>
              </w:rPr>
              <w:t>(April 2023-June 2024)</w:t>
            </w:r>
          </w:p>
        </w:tc>
        <w:tc>
          <w:tcPr>
            <w:tcW w:w="2810" w:type="dxa"/>
            <w:gridSpan w:val="3"/>
            <w:tcBorders>
              <w:top w:val="nil"/>
              <w:left w:val="nil"/>
              <w:bottom w:val="nil"/>
              <w:right w:val="nil"/>
            </w:tcBorders>
            <w:shd w:val="clear" w:color="000000" w:fill="40434B"/>
            <w:vAlign w:val="bottom"/>
            <w:hideMark/>
          </w:tcPr>
          <w:p w14:paraId="00D0BF81" w14:textId="25F16BEF" w:rsidR="008E5777" w:rsidRDefault="001469C8" w:rsidP="006F32F1">
            <w:pPr>
              <w:spacing w:after="0"/>
              <w:jc w:val="center"/>
              <w:rPr>
                <w:rFonts w:eastAsia="Times New Roman" w:cs="Arial"/>
                <w:b/>
                <w:bCs/>
                <w:color w:val="FFFFFF"/>
              </w:rPr>
            </w:pPr>
            <w:r>
              <w:rPr>
                <w:rFonts w:eastAsia="Times New Roman" w:cs="Arial"/>
                <w:b/>
                <w:bCs/>
                <w:color w:val="FFFFFF"/>
              </w:rPr>
              <w:t>SBM</w:t>
            </w:r>
            <w:r w:rsidR="008E5777" w:rsidRPr="008E5777">
              <w:rPr>
                <w:rFonts w:eastAsia="Times New Roman" w:cs="Arial"/>
                <w:b/>
                <w:bCs/>
                <w:color w:val="FFFFFF"/>
              </w:rPr>
              <w:t xml:space="preserve"> with integrated systems</w:t>
            </w:r>
          </w:p>
          <w:p w14:paraId="1866CB94" w14:textId="634F5F59" w:rsidR="001469C8" w:rsidRPr="008E5777" w:rsidRDefault="001469C8" w:rsidP="006F32F1">
            <w:pPr>
              <w:spacing w:after="0"/>
              <w:jc w:val="center"/>
              <w:rPr>
                <w:rFonts w:eastAsia="Times New Roman" w:cs="Arial"/>
                <w:b/>
                <w:bCs/>
                <w:color w:val="FFFFFF"/>
              </w:rPr>
            </w:pPr>
            <w:r w:rsidRPr="008E5777">
              <w:rPr>
                <w:rFonts w:eastAsia="Times New Roman" w:cs="Arial"/>
                <w:b/>
                <w:bCs/>
                <w:color w:val="FFFFFF"/>
              </w:rPr>
              <w:t>(April 2023-June 2024)</w:t>
            </w:r>
          </w:p>
        </w:tc>
      </w:tr>
      <w:tr w:rsidR="006F32F1" w:rsidRPr="008E5777" w14:paraId="6F7051E6" w14:textId="77777777" w:rsidTr="00BC6368">
        <w:trPr>
          <w:trHeight w:val="20"/>
        </w:trPr>
        <w:tc>
          <w:tcPr>
            <w:tcW w:w="2083" w:type="dxa"/>
            <w:vMerge/>
            <w:tcBorders>
              <w:top w:val="single" w:sz="8" w:space="0" w:color="CBD0D2"/>
              <w:left w:val="single" w:sz="8" w:space="0" w:color="CBD0D2"/>
              <w:bottom w:val="single" w:sz="8" w:space="0" w:color="CBD0D2"/>
              <w:right w:val="single" w:sz="8" w:space="0" w:color="CBD0D2"/>
            </w:tcBorders>
            <w:vAlign w:val="bottom"/>
            <w:hideMark/>
          </w:tcPr>
          <w:p w14:paraId="2E683F51" w14:textId="77777777" w:rsidR="008E5777" w:rsidRPr="008E5777" w:rsidRDefault="008E5777" w:rsidP="00BC6368">
            <w:pPr>
              <w:spacing w:after="0"/>
              <w:jc w:val="center"/>
              <w:rPr>
                <w:rFonts w:eastAsia="Times New Roman" w:cs="Arial"/>
                <w:b/>
                <w:bCs/>
                <w:color w:val="FFFFFF"/>
              </w:rPr>
            </w:pPr>
          </w:p>
        </w:tc>
        <w:tc>
          <w:tcPr>
            <w:tcW w:w="1379" w:type="dxa"/>
            <w:tcBorders>
              <w:top w:val="nil"/>
              <w:left w:val="nil"/>
              <w:bottom w:val="single" w:sz="8" w:space="0" w:color="CBD0D2"/>
              <w:right w:val="single" w:sz="8" w:space="0" w:color="CBD0D2"/>
            </w:tcBorders>
            <w:shd w:val="clear" w:color="000000" w:fill="008170"/>
            <w:vAlign w:val="bottom"/>
            <w:hideMark/>
          </w:tcPr>
          <w:p w14:paraId="7051C2BE" w14:textId="77777777" w:rsidR="008E5777" w:rsidRPr="008E5777" w:rsidRDefault="008E5777" w:rsidP="006F32F1">
            <w:pPr>
              <w:spacing w:after="0"/>
              <w:jc w:val="center"/>
              <w:rPr>
                <w:rFonts w:eastAsia="Times New Roman" w:cs="Arial"/>
                <w:b/>
                <w:bCs/>
                <w:color w:val="FFFFFF"/>
              </w:rPr>
            </w:pPr>
            <w:r w:rsidRPr="008E5777">
              <w:rPr>
                <w:rFonts w:eastAsia="Times New Roman" w:cs="Arial"/>
                <w:b/>
                <w:bCs/>
                <w:color w:val="FFFFFF"/>
              </w:rPr>
              <w:t>Number</w:t>
            </w:r>
          </w:p>
        </w:tc>
        <w:tc>
          <w:tcPr>
            <w:tcW w:w="1380" w:type="dxa"/>
            <w:gridSpan w:val="2"/>
            <w:tcBorders>
              <w:top w:val="nil"/>
              <w:left w:val="nil"/>
              <w:bottom w:val="single" w:sz="8" w:space="0" w:color="CBD0D2"/>
              <w:right w:val="single" w:sz="8" w:space="0" w:color="CBD0D2"/>
            </w:tcBorders>
            <w:shd w:val="clear" w:color="000000" w:fill="008170"/>
            <w:vAlign w:val="bottom"/>
            <w:hideMark/>
          </w:tcPr>
          <w:p w14:paraId="0BA8D555" w14:textId="77777777" w:rsidR="008E5777" w:rsidRPr="008E5777" w:rsidRDefault="008E5777" w:rsidP="006F32F1">
            <w:pPr>
              <w:spacing w:after="0"/>
              <w:jc w:val="center"/>
              <w:rPr>
                <w:rFonts w:eastAsia="Times New Roman" w:cs="Arial"/>
                <w:b/>
                <w:bCs/>
                <w:color w:val="FFFFFF"/>
              </w:rPr>
            </w:pPr>
            <w:r w:rsidRPr="008E5777">
              <w:rPr>
                <w:rFonts w:eastAsia="Times New Roman" w:cs="Arial"/>
                <w:b/>
                <w:bCs/>
                <w:color w:val="FFFFFF"/>
              </w:rPr>
              <w:t>Percent</w:t>
            </w:r>
          </w:p>
        </w:tc>
        <w:tc>
          <w:tcPr>
            <w:tcW w:w="1379" w:type="dxa"/>
            <w:tcBorders>
              <w:top w:val="nil"/>
              <w:left w:val="nil"/>
              <w:bottom w:val="single" w:sz="8" w:space="0" w:color="CBD0D2"/>
              <w:right w:val="single" w:sz="8" w:space="0" w:color="CBD0D2"/>
            </w:tcBorders>
            <w:shd w:val="clear" w:color="000000" w:fill="008170"/>
            <w:vAlign w:val="bottom"/>
            <w:hideMark/>
          </w:tcPr>
          <w:p w14:paraId="670CDD57" w14:textId="77777777" w:rsidR="008E5777" w:rsidRPr="008E5777" w:rsidRDefault="008E5777" w:rsidP="006F32F1">
            <w:pPr>
              <w:spacing w:after="0"/>
              <w:jc w:val="center"/>
              <w:rPr>
                <w:rFonts w:eastAsia="Times New Roman" w:cs="Arial"/>
                <w:b/>
                <w:bCs/>
                <w:color w:val="FFFFFF"/>
              </w:rPr>
            </w:pPr>
            <w:r w:rsidRPr="008E5777">
              <w:rPr>
                <w:rFonts w:eastAsia="Times New Roman" w:cs="Arial"/>
                <w:b/>
                <w:bCs/>
                <w:color w:val="FFFFFF"/>
              </w:rPr>
              <w:t>Number</w:t>
            </w:r>
          </w:p>
        </w:tc>
        <w:tc>
          <w:tcPr>
            <w:tcW w:w="1329" w:type="dxa"/>
            <w:tcBorders>
              <w:top w:val="nil"/>
              <w:left w:val="nil"/>
              <w:bottom w:val="single" w:sz="8" w:space="0" w:color="CBD0D2"/>
              <w:right w:val="single" w:sz="8" w:space="0" w:color="CBD0D2"/>
            </w:tcBorders>
            <w:shd w:val="clear" w:color="000000" w:fill="008170"/>
            <w:vAlign w:val="bottom"/>
            <w:hideMark/>
          </w:tcPr>
          <w:p w14:paraId="73944D09" w14:textId="77777777" w:rsidR="008E5777" w:rsidRPr="008E5777" w:rsidRDefault="008E5777" w:rsidP="006F32F1">
            <w:pPr>
              <w:spacing w:after="0"/>
              <w:jc w:val="center"/>
              <w:rPr>
                <w:rFonts w:eastAsia="Times New Roman" w:cs="Arial"/>
                <w:b/>
                <w:bCs/>
                <w:color w:val="FFFFFF"/>
              </w:rPr>
            </w:pPr>
            <w:r w:rsidRPr="008E5777">
              <w:rPr>
                <w:rFonts w:eastAsia="Times New Roman" w:cs="Arial"/>
                <w:b/>
                <w:bCs/>
                <w:color w:val="FFFFFF"/>
              </w:rPr>
              <w:t>Percent</w:t>
            </w:r>
          </w:p>
        </w:tc>
        <w:tc>
          <w:tcPr>
            <w:tcW w:w="1430" w:type="dxa"/>
            <w:gridSpan w:val="2"/>
            <w:tcBorders>
              <w:top w:val="nil"/>
              <w:left w:val="nil"/>
              <w:bottom w:val="single" w:sz="8" w:space="0" w:color="CBD0D2"/>
              <w:right w:val="single" w:sz="8" w:space="0" w:color="CBD0D2"/>
            </w:tcBorders>
            <w:shd w:val="clear" w:color="000000" w:fill="008170"/>
            <w:vAlign w:val="bottom"/>
            <w:hideMark/>
          </w:tcPr>
          <w:p w14:paraId="1B5C4AD5" w14:textId="77777777" w:rsidR="008E5777" w:rsidRPr="008E5777" w:rsidRDefault="008E5777" w:rsidP="006F32F1">
            <w:pPr>
              <w:spacing w:after="0"/>
              <w:jc w:val="center"/>
              <w:rPr>
                <w:rFonts w:eastAsia="Times New Roman" w:cs="Arial"/>
                <w:b/>
                <w:bCs/>
                <w:color w:val="FFFFFF"/>
              </w:rPr>
            </w:pPr>
            <w:r w:rsidRPr="008E5777">
              <w:rPr>
                <w:rFonts w:eastAsia="Times New Roman" w:cs="Arial"/>
                <w:b/>
                <w:bCs/>
                <w:color w:val="FFFFFF"/>
              </w:rPr>
              <w:t>Number</w:t>
            </w:r>
          </w:p>
        </w:tc>
        <w:tc>
          <w:tcPr>
            <w:tcW w:w="1380" w:type="dxa"/>
            <w:tcBorders>
              <w:top w:val="nil"/>
              <w:left w:val="nil"/>
              <w:bottom w:val="single" w:sz="8" w:space="0" w:color="CBD0D2"/>
              <w:right w:val="single" w:sz="8" w:space="0" w:color="CBD0D2"/>
            </w:tcBorders>
            <w:shd w:val="clear" w:color="000000" w:fill="008170"/>
            <w:vAlign w:val="bottom"/>
            <w:hideMark/>
          </w:tcPr>
          <w:p w14:paraId="3EAF8AE5" w14:textId="77777777" w:rsidR="008E5777" w:rsidRPr="008E5777" w:rsidRDefault="008E5777" w:rsidP="006F32F1">
            <w:pPr>
              <w:spacing w:after="0"/>
              <w:jc w:val="center"/>
              <w:rPr>
                <w:rFonts w:eastAsia="Times New Roman" w:cs="Arial"/>
                <w:b/>
                <w:bCs/>
                <w:color w:val="FFFFFF"/>
              </w:rPr>
            </w:pPr>
            <w:r w:rsidRPr="008E5777">
              <w:rPr>
                <w:rFonts w:eastAsia="Times New Roman" w:cs="Arial"/>
                <w:b/>
                <w:bCs/>
                <w:color w:val="FFFFFF"/>
              </w:rPr>
              <w:t>Percent</w:t>
            </w:r>
          </w:p>
        </w:tc>
      </w:tr>
      <w:tr w:rsidR="008E5777" w:rsidRPr="008E5777" w14:paraId="32695FBF" w14:textId="77777777" w:rsidTr="00BC6368">
        <w:trPr>
          <w:trHeight w:val="1012"/>
        </w:trPr>
        <w:tc>
          <w:tcPr>
            <w:tcW w:w="2083" w:type="dxa"/>
            <w:tcBorders>
              <w:top w:val="nil"/>
              <w:left w:val="single" w:sz="8" w:space="0" w:color="CBD0D2"/>
              <w:bottom w:val="single" w:sz="8" w:space="0" w:color="CBD0D2"/>
              <w:right w:val="single" w:sz="8" w:space="0" w:color="CBD0D2"/>
            </w:tcBorders>
            <w:shd w:val="clear" w:color="auto" w:fill="auto"/>
            <w:vAlign w:val="center"/>
            <w:hideMark/>
          </w:tcPr>
          <w:p w14:paraId="4302D52C" w14:textId="1AFB559C" w:rsidR="008E5777" w:rsidRPr="006F32F1" w:rsidRDefault="008E5777" w:rsidP="00787183">
            <w:pPr>
              <w:spacing w:after="0"/>
              <w:rPr>
                <w:rFonts w:eastAsia="Times New Roman" w:cs="Arial"/>
                <w:color w:val="003461" w:themeColor="accent1"/>
              </w:rPr>
            </w:pPr>
            <w:r w:rsidRPr="006F32F1">
              <w:rPr>
                <w:rFonts w:eastAsia="Times New Roman" w:cs="Arial"/>
                <w:color w:val="003461" w:themeColor="accent1"/>
              </w:rPr>
              <w:t>Beneficiary los</w:t>
            </w:r>
            <w:r w:rsidR="00787183" w:rsidRPr="006F32F1">
              <w:rPr>
                <w:rFonts w:eastAsia="Times New Roman" w:cs="Arial"/>
                <w:color w:val="003461" w:themeColor="accent1"/>
              </w:rPr>
              <w:t>t</w:t>
            </w:r>
            <w:r w:rsidRPr="006F32F1">
              <w:rPr>
                <w:rFonts w:eastAsia="Times New Roman" w:cs="Arial"/>
                <w:color w:val="003461" w:themeColor="accent1"/>
              </w:rPr>
              <w:t xml:space="preserve"> Medicaid coverage and has account transferred to </w:t>
            </w:r>
            <w:r w:rsidR="001469C8" w:rsidRPr="006F32F1">
              <w:rPr>
                <w:rFonts w:eastAsia="Times New Roman" w:cs="Arial"/>
                <w:color w:val="003461" w:themeColor="accent1"/>
              </w:rPr>
              <w:t>marketplace</w:t>
            </w:r>
          </w:p>
        </w:tc>
        <w:tc>
          <w:tcPr>
            <w:tcW w:w="1379" w:type="dxa"/>
            <w:tcBorders>
              <w:top w:val="nil"/>
              <w:left w:val="nil"/>
              <w:bottom w:val="single" w:sz="8" w:space="0" w:color="CBD0D2"/>
              <w:right w:val="single" w:sz="8" w:space="0" w:color="CBD0D2"/>
            </w:tcBorders>
            <w:shd w:val="clear" w:color="auto" w:fill="auto"/>
            <w:vAlign w:val="center"/>
            <w:hideMark/>
          </w:tcPr>
          <w:p w14:paraId="5EB8D31F" w14:textId="77777777" w:rsidR="008E5777" w:rsidRPr="008E5777" w:rsidRDefault="008E5777" w:rsidP="008E5777">
            <w:pPr>
              <w:spacing w:after="0"/>
              <w:jc w:val="right"/>
              <w:rPr>
                <w:rFonts w:eastAsia="Times New Roman" w:cs="Arial"/>
              </w:rPr>
            </w:pPr>
            <w:r w:rsidRPr="008E5777">
              <w:rPr>
                <w:rFonts w:eastAsia="Times New Roman" w:cs="Arial"/>
              </w:rPr>
              <w:t>5,623,654</w:t>
            </w:r>
          </w:p>
        </w:tc>
        <w:tc>
          <w:tcPr>
            <w:tcW w:w="1380" w:type="dxa"/>
            <w:gridSpan w:val="2"/>
            <w:tcBorders>
              <w:top w:val="nil"/>
              <w:left w:val="nil"/>
              <w:bottom w:val="single" w:sz="8" w:space="0" w:color="CBD0D2"/>
              <w:right w:val="single" w:sz="8" w:space="0" w:color="CBD0D2"/>
            </w:tcBorders>
            <w:shd w:val="clear" w:color="auto" w:fill="auto"/>
            <w:vAlign w:val="center"/>
            <w:hideMark/>
          </w:tcPr>
          <w:p w14:paraId="738839CE" w14:textId="77777777" w:rsidR="008E5777" w:rsidRPr="008E5777" w:rsidRDefault="008E5777" w:rsidP="006F32F1">
            <w:pPr>
              <w:tabs>
                <w:tab w:val="decimal" w:pos="627"/>
              </w:tabs>
              <w:spacing w:after="0"/>
              <w:rPr>
                <w:rFonts w:eastAsia="Times New Roman" w:cs="Arial"/>
              </w:rPr>
            </w:pPr>
            <w:r w:rsidRPr="008E5777">
              <w:rPr>
                <w:rFonts w:eastAsia="Times New Roman" w:cs="Arial"/>
              </w:rPr>
              <w:t>100.0%</w:t>
            </w:r>
          </w:p>
        </w:tc>
        <w:tc>
          <w:tcPr>
            <w:tcW w:w="1379" w:type="dxa"/>
            <w:tcBorders>
              <w:top w:val="nil"/>
              <w:left w:val="nil"/>
              <w:bottom w:val="single" w:sz="8" w:space="0" w:color="CBD0D2"/>
              <w:right w:val="single" w:sz="8" w:space="0" w:color="CBD0D2"/>
            </w:tcBorders>
            <w:shd w:val="clear" w:color="auto" w:fill="auto"/>
            <w:vAlign w:val="center"/>
            <w:hideMark/>
          </w:tcPr>
          <w:p w14:paraId="4C1E831B" w14:textId="6415FEDD" w:rsidR="008E5777" w:rsidRPr="008E5777" w:rsidRDefault="005A5662" w:rsidP="008E5777">
            <w:pPr>
              <w:spacing w:after="0"/>
              <w:jc w:val="right"/>
              <w:rPr>
                <w:rFonts w:eastAsia="Times New Roman" w:cs="Arial"/>
              </w:rPr>
            </w:pPr>
            <w:r>
              <w:rPr>
                <w:rFonts w:eastAsia="Times New Roman" w:cs="Arial"/>
              </w:rPr>
              <w:t>1,641,309</w:t>
            </w:r>
          </w:p>
        </w:tc>
        <w:tc>
          <w:tcPr>
            <w:tcW w:w="1380" w:type="dxa"/>
            <w:gridSpan w:val="2"/>
            <w:tcBorders>
              <w:top w:val="nil"/>
              <w:left w:val="nil"/>
              <w:bottom w:val="single" w:sz="8" w:space="0" w:color="CBD0D2"/>
              <w:right w:val="single" w:sz="8" w:space="0" w:color="CBD0D2"/>
            </w:tcBorders>
            <w:shd w:val="clear" w:color="auto" w:fill="auto"/>
            <w:vAlign w:val="center"/>
            <w:hideMark/>
          </w:tcPr>
          <w:p w14:paraId="4998729B" w14:textId="5B564572" w:rsidR="008E5777" w:rsidRPr="008E5777" w:rsidRDefault="008E5777" w:rsidP="006F32F1">
            <w:pPr>
              <w:tabs>
                <w:tab w:val="decimal" w:pos="588"/>
              </w:tabs>
              <w:spacing w:after="0"/>
              <w:rPr>
                <w:rFonts w:eastAsia="Times New Roman" w:cs="Arial"/>
              </w:rPr>
            </w:pPr>
            <w:r w:rsidRPr="008E5777">
              <w:rPr>
                <w:rFonts w:eastAsia="Times New Roman" w:cs="Arial"/>
              </w:rPr>
              <w:t>100</w:t>
            </w:r>
            <w:r w:rsidR="005A5662">
              <w:rPr>
                <w:rFonts w:eastAsia="Times New Roman" w:cs="Arial"/>
              </w:rPr>
              <w:t>.0</w:t>
            </w:r>
            <w:r w:rsidRPr="008E5777">
              <w:rPr>
                <w:rFonts w:eastAsia="Times New Roman" w:cs="Arial"/>
              </w:rPr>
              <w:t>%</w:t>
            </w:r>
          </w:p>
        </w:tc>
        <w:tc>
          <w:tcPr>
            <w:tcW w:w="1379" w:type="dxa"/>
            <w:tcBorders>
              <w:top w:val="nil"/>
              <w:left w:val="nil"/>
              <w:bottom w:val="single" w:sz="8" w:space="0" w:color="CBD0D2"/>
              <w:right w:val="single" w:sz="8" w:space="0" w:color="CBD0D2"/>
            </w:tcBorders>
            <w:shd w:val="clear" w:color="auto" w:fill="auto"/>
            <w:vAlign w:val="center"/>
            <w:hideMark/>
          </w:tcPr>
          <w:p w14:paraId="78718F4E" w14:textId="77777777" w:rsidR="008E5777" w:rsidRPr="008E5777" w:rsidRDefault="008E5777" w:rsidP="008E5777">
            <w:pPr>
              <w:spacing w:after="0"/>
              <w:jc w:val="right"/>
              <w:rPr>
                <w:rFonts w:eastAsia="Times New Roman" w:cs="Arial"/>
              </w:rPr>
            </w:pPr>
            <w:r w:rsidRPr="008E5777">
              <w:rPr>
                <w:rFonts w:eastAsia="Times New Roman" w:cs="Arial"/>
              </w:rPr>
              <w:t>5,051,549</w:t>
            </w:r>
          </w:p>
        </w:tc>
        <w:tc>
          <w:tcPr>
            <w:tcW w:w="1380" w:type="dxa"/>
            <w:tcBorders>
              <w:top w:val="nil"/>
              <w:left w:val="nil"/>
              <w:bottom w:val="single" w:sz="8" w:space="0" w:color="CBD0D2"/>
              <w:right w:val="single" w:sz="8" w:space="0" w:color="CBD0D2"/>
            </w:tcBorders>
            <w:shd w:val="clear" w:color="auto" w:fill="auto"/>
            <w:vAlign w:val="center"/>
            <w:hideMark/>
          </w:tcPr>
          <w:p w14:paraId="37938BDD" w14:textId="4F8AE5C6" w:rsidR="008E5777" w:rsidRPr="008E5777" w:rsidRDefault="008E5777" w:rsidP="006F32F1">
            <w:pPr>
              <w:tabs>
                <w:tab w:val="decimal" w:pos="573"/>
              </w:tabs>
              <w:spacing w:after="0"/>
              <w:rPr>
                <w:rFonts w:eastAsia="Times New Roman" w:cs="Arial"/>
              </w:rPr>
            </w:pPr>
            <w:r w:rsidRPr="008E5777">
              <w:rPr>
                <w:rFonts w:eastAsia="Times New Roman" w:cs="Arial"/>
              </w:rPr>
              <w:t>100</w:t>
            </w:r>
            <w:r w:rsidR="005A5662">
              <w:rPr>
                <w:rFonts w:eastAsia="Times New Roman" w:cs="Arial"/>
              </w:rPr>
              <w:t>.0</w:t>
            </w:r>
            <w:r w:rsidRPr="008E5777">
              <w:rPr>
                <w:rFonts w:eastAsia="Times New Roman" w:cs="Arial"/>
              </w:rPr>
              <w:t>%</w:t>
            </w:r>
          </w:p>
        </w:tc>
      </w:tr>
      <w:tr w:rsidR="006F32F1" w:rsidRPr="008E5777" w14:paraId="37C99EA1" w14:textId="77777777" w:rsidTr="006F32F1">
        <w:trPr>
          <w:trHeight w:val="512"/>
        </w:trPr>
        <w:tc>
          <w:tcPr>
            <w:tcW w:w="2083" w:type="dxa"/>
            <w:tcBorders>
              <w:top w:val="nil"/>
              <w:left w:val="single" w:sz="8" w:space="0" w:color="CBD0D2"/>
              <w:bottom w:val="single" w:sz="8" w:space="0" w:color="CBD0D2"/>
              <w:right w:val="single" w:sz="8" w:space="0" w:color="CBD0D2"/>
            </w:tcBorders>
            <w:shd w:val="clear" w:color="000000" w:fill="ECECED"/>
            <w:vAlign w:val="center"/>
            <w:hideMark/>
          </w:tcPr>
          <w:p w14:paraId="0F8B00A6" w14:textId="1D159D09" w:rsidR="008E5777" w:rsidRPr="006F32F1" w:rsidRDefault="00787183" w:rsidP="00787183">
            <w:pPr>
              <w:spacing w:after="0"/>
              <w:rPr>
                <w:rFonts w:eastAsia="Times New Roman" w:cs="Arial"/>
                <w:color w:val="003461" w:themeColor="accent1"/>
              </w:rPr>
            </w:pPr>
            <w:r w:rsidRPr="006F32F1">
              <w:rPr>
                <w:rFonts w:eastAsia="Times New Roman" w:cs="Arial"/>
                <w:color w:val="003461" w:themeColor="accent1"/>
              </w:rPr>
              <w:t>Individual with account transfer s</w:t>
            </w:r>
            <w:r w:rsidR="008E5777" w:rsidRPr="006F32F1">
              <w:rPr>
                <w:rFonts w:eastAsia="Times New Roman" w:cs="Arial"/>
                <w:color w:val="003461" w:themeColor="accent1"/>
              </w:rPr>
              <w:t>ubmit</w:t>
            </w:r>
            <w:r w:rsidRPr="006F32F1">
              <w:rPr>
                <w:rFonts w:eastAsia="Times New Roman" w:cs="Arial"/>
                <w:color w:val="003461" w:themeColor="accent1"/>
              </w:rPr>
              <w:t>ted</w:t>
            </w:r>
            <w:r w:rsidR="008E5777" w:rsidRPr="006F32F1">
              <w:rPr>
                <w:rFonts w:eastAsia="Times New Roman" w:cs="Arial"/>
                <w:color w:val="003461" w:themeColor="accent1"/>
              </w:rPr>
              <w:t xml:space="preserve"> </w:t>
            </w:r>
            <w:r w:rsidR="001469C8" w:rsidRPr="006F32F1">
              <w:rPr>
                <w:rFonts w:eastAsia="Times New Roman" w:cs="Arial"/>
                <w:color w:val="003461" w:themeColor="accent1"/>
              </w:rPr>
              <w:t>marketplace</w:t>
            </w:r>
            <w:r w:rsidR="008E5777" w:rsidRPr="006F32F1">
              <w:rPr>
                <w:rFonts w:eastAsia="Times New Roman" w:cs="Arial"/>
                <w:color w:val="003461" w:themeColor="accent1"/>
              </w:rPr>
              <w:t xml:space="preserve"> application</w:t>
            </w:r>
          </w:p>
        </w:tc>
        <w:tc>
          <w:tcPr>
            <w:tcW w:w="1379" w:type="dxa"/>
            <w:tcBorders>
              <w:top w:val="nil"/>
              <w:left w:val="nil"/>
              <w:bottom w:val="single" w:sz="8" w:space="0" w:color="CBD0D2"/>
              <w:right w:val="single" w:sz="8" w:space="0" w:color="CBD0D2"/>
            </w:tcBorders>
            <w:shd w:val="clear" w:color="000000" w:fill="ECECED"/>
            <w:vAlign w:val="center"/>
            <w:hideMark/>
          </w:tcPr>
          <w:p w14:paraId="62A4A71C" w14:textId="77777777" w:rsidR="008E5777" w:rsidRPr="008E5777" w:rsidRDefault="008E5777" w:rsidP="008E5777">
            <w:pPr>
              <w:spacing w:after="0"/>
              <w:jc w:val="right"/>
              <w:rPr>
                <w:rFonts w:eastAsia="Times New Roman" w:cs="Arial"/>
              </w:rPr>
            </w:pPr>
            <w:r w:rsidRPr="008E5777">
              <w:rPr>
                <w:rFonts w:eastAsia="Times New Roman" w:cs="Arial"/>
              </w:rPr>
              <w:t>1,335,284</w:t>
            </w:r>
          </w:p>
        </w:tc>
        <w:tc>
          <w:tcPr>
            <w:tcW w:w="1380" w:type="dxa"/>
            <w:gridSpan w:val="2"/>
            <w:tcBorders>
              <w:top w:val="nil"/>
              <w:left w:val="nil"/>
              <w:bottom w:val="single" w:sz="8" w:space="0" w:color="CBD0D2"/>
              <w:right w:val="single" w:sz="8" w:space="0" w:color="CBD0D2"/>
            </w:tcBorders>
            <w:shd w:val="clear" w:color="000000" w:fill="ECECED"/>
            <w:vAlign w:val="center"/>
            <w:hideMark/>
          </w:tcPr>
          <w:p w14:paraId="61ABCFF6" w14:textId="36874152" w:rsidR="008E5777" w:rsidRPr="008E5777" w:rsidRDefault="008E5777" w:rsidP="006F32F1">
            <w:pPr>
              <w:tabs>
                <w:tab w:val="decimal" w:pos="627"/>
              </w:tabs>
              <w:spacing w:after="0"/>
              <w:rPr>
                <w:rFonts w:eastAsia="Times New Roman" w:cs="Arial"/>
              </w:rPr>
            </w:pPr>
            <w:r w:rsidRPr="008E5777">
              <w:rPr>
                <w:rFonts w:eastAsia="Times New Roman" w:cs="Arial"/>
              </w:rPr>
              <w:t>23.7</w:t>
            </w:r>
          </w:p>
        </w:tc>
        <w:tc>
          <w:tcPr>
            <w:tcW w:w="1379" w:type="dxa"/>
            <w:tcBorders>
              <w:top w:val="nil"/>
              <w:left w:val="nil"/>
              <w:bottom w:val="single" w:sz="8" w:space="0" w:color="CBD0D2"/>
              <w:right w:val="single" w:sz="8" w:space="0" w:color="CBD0D2"/>
            </w:tcBorders>
            <w:shd w:val="clear" w:color="000000" w:fill="ECECED"/>
            <w:vAlign w:val="center"/>
            <w:hideMark/>
          </w:tcPr>
          <w:p w14:paraId="1755F4B3" w14:textId="77777777" w:rsidR="008E5777" w:rsidRPr="008E5777" w:rsidRDefault="008E5777" w:rsidP="008E5777">
            <w:pPr>
              <w:spacing w:after="0"/>
              <w:jc w:val="right"/>
              <w:rPr>
                <w:rFonts w:eastAsia="Times New Roman" w:cs="Arial"/>
              </w:rPr>
            </w:pPr>
            <w:r w:rsidRPr="008E5777">
              <w:rPr>
                <w:rFonts w:eastAsia="Times New Roman" w:cs="Arial"/>
              </w:rPr>
              <w:t>720,133</w:t>
            </w:r>
          </w:p>
        </w:tc>
        <w:tc>
          <w:tcPr>
            <w:tcW w:w="1380" w:type="dxa"/>
            <w:gridSpan w:val="2"/>
            <w:tcBorders>
              <w:top w:val="nil"/>
              <w:left w:val="nil"/>
              <w:bottom w:val="single" w:sz="8" w:space="0" w:color="CBD0D2"/>
              <w:right w:val="single" w:sz="8" w:space="0" w:color="CBD0D2"/>
            </w:tcBorders>
            <w:shd w:val="clear" w:color="000000" w:fill="ECECED"/>
            <w:vAlign w:val="center"/>
            <w:hideMark/>
          </w:tcPr>
          <w:p w14:paraId="579932D2" w14:textId="2E25E141" w:rsidR="008E5777" w:rsidRPr="008E5777" w:rsidRDefault="005A5662" w:rsidP="006F32F1">
            <w:pPr>
              <w:tabs>
                <w:tab w:val="decimal" w:pos="588"/>
              </w:tabs>
              <w:spacing w:after="0"/>
              <w:rPr>
                <w:rFonts w:eastAsia="Times New Roman" w:cs="Arial"/>
              </w:rPr>
            </w:pPr>
            <w:r>
              <w:rPr>
                <w:rFonts w:eastAsia="Times New Roman" w:cs="Arial"/>
              </w:rPr>
              <w:t>43.9</w:t>
            </w:r>
          </w:p>
        </w:tc>
        <w:tc>
          <w:tcPr>
            <w:tcW w:w="1379" w:type="dxa"/>
            <w:tcBorders>
              <w:top w:val="nil"/>
              <w:left w:val="nil"/>
              <w:bottom w:val="single" w:sz="8" w:space="0" w:color="CBD0D2"/>
              <w:right w:val="single" w:sz="8" w:space="0" w:color="CBD0D2"/>
            </w:tcBorders>
            <w:shd w:val="clear" w:color="000000" w:fill="ECECED"/>
            <w:vAlign w:val="center"/>
            <w:hideMark/>
          </w:tcPr>
          <w:p w14:paraId="2B3F7A2E" w14:textId="77777777" w:rsidR="008E5777" w:rsidRPr="008E5777" w:rsidRDefault="008E5777" w:rsidP="006F32F1">
            <w:pPr>
              <w:spacing w:after="0"/>
              <w:jc w:val="center"/>
              <w:rPr>
                <w:rFonts w:eastAsia="Times New Roman" w:cs="Arial"/>
              </w:rPr>
            </w:pPr>
            <w:r w:rsidRPr="008E5777">
              <w:rPr>
                <w:rFonts w:eastAsia="Times New Roman" w:cs="Arial"/>
              </w:rPr>
              <w:t>N/A</w:t>
            </w:r>
          </w:p>
        </w:tc>
        <w:tc>
          <w:tcPr>
            <w:tcW w:w="1380" w:type="dxa"/>
            <w:tcBorders>
              <w:top w:val="nil"/>
              <w:left w:val="nil"/>
              <w:bottom w:val="single" w:sz="8" w:space="0" w:color="CBD0D2"/>
              <w:right w:val="single" w:sz="8" w:space="0" w:color="CBD0D2"/>
            </w:tcBorders>
            <w:shd w:val="clear" w:color="000000" w:fill="ECECED"/>
            <w:vAlign w:val="center"/>
            <w:hideMark/>
          </w:tcPr>
          <w:p w14:paraId="3D3F1306" w14:textId="77777777" w:rsidR="008E5777" w:rsidRPr="008E5777" w:rsidRDefault="008E5777" w:rsidP="006F32F1">
            <w:pPr>
              <w:tabs>
                <w:tab w:val="decimal" w:pos="573"/>
              </w:tabs>
              <w:spacing w:after="0"/>
              <w:jc w:val="center"/>
              <w:rPr>
                <w:rFonts w:eastAsia="Times New Roman" w:cs="Arial"/>
              </w:rPr>
            </w:pPr>
            <w:r w:rsidRPr="008E5777">
              <w:rPr>
                <w:rFonts w:eastAsia="Times New Roman" w:cs="Arial"/>
              </w:rPr>
              <w:t>N/A</w:t>
            </w:r>
          </w:p>
        </w:tc>
      </w:tr>
      <w:tr w:rsidR="008E5777" w:rsidRPr="008E5777" w14:paraId="2F2DCD6B" w14:textId="77777777" w:rsidTr="006F32F1">
        <w:trPr>
          <w:trHeight w:val="773"/>
        </w:trPr>
        <w:tc>
          <w:tcPr>
            <w:tcW w:w="2083" w:type="dxa"/>
            <w:tcBorders>
              <w:top w:val="nil"/>
              <w:left w:val="single" w:sz="8" w:space="0" w:color="CBD0D2"/>
              <w:bottom w:val="single" w:sz="8" w:space="0" w:color="CBD0D2"/>
              <w:right w:val="single" w:sz="8" w:space="0" w:color="CBD0D2"/>
            </w:tcBorders>
            <w:shd w:val="clear" w:color="auto" w:fill="auto"/>
            <w:vAlign w:val="center"/>
            <w:hideMark/>
          </w:tcPr>
          <w:p w14:paraId="4CD74AF9" w14:textId="2B15DC22" w:rsidR="008E5777" w:rsidRPr="006F32F1" w:rsidRDefault="001469C8" w:rsidP="00787183">
            <w:pPr>
              <w:spacing w:after="0"/>
              <w:rPr>
                <w:rFonts w:eastAsia="Times New Roman" w:cs="Arial"/>
                <w:color w:val="003461" w:themeColor="accent1"/>
              </w:rPr>
            </w:pPr>
            <w:r w:rsidRPr="006F32F1">
              <w:rPr>
                <w:rFonts w:eastAsia="Times New Roman" w:cs="Arial"/>
                <w:color w:val="003461" w:themeColor="accent1"/>
              </w:rPr>
              <w:t>Marketplace</w:t>
            </w:r>
            <w:r w:rsidR="008E5777" w:rsidRPr="006F32F1">
              <w:rPr>
                <w:rFonts w:eastAsia="Times New Roman" w:cs="Arial"/>
                <w:color w:val="003461" w:themeColor="accent1"/>
              </w:rPr>
              <w:t xml:space="preserve"> determine</w:t>
            </w:r>
            <w:r w:rsidR="00787183" w:rsidRPr="006F32F1">
              <w:rPr>
                <w:rFonts w:eastAsia="Times New Roman" w:cs="Arial"/>
                <w:color w:val="003461" w:themeColor="accent1"/>
              </w:rPr>
              <w:t>d</w:t>
            </w:r>
            <w:r w:rsidR="008E5777" w:rsidRPr="006F32F1">
              <w:rPr>
                <w:rFonts w:eastAsia="Times New Roman" w:cs="Arial"/>
                <w:color w:val="003461" w:themeColor="accent1"/>
              </w:rPr>
              <w:t xml:space="preserve"> individual </w:t>
            </w:r>
            <w:r w:rsidR="00787183" w:rsidRPr="006F32F1">
              <w:rPr>
                <w:rFonts w:eastAsia="Times New Roman" w:cs="Arial"/>
                <w:color w:val="003461" w:themeColor="accent1"/>
              </w:rPr>
              <w:t xml:space="preserve">is </w:t>
            </w:r>
            <w:r w:rsidR="008E5777" w:rsidRPr="006F32F1">
              <w:rPr>
                <w:rFonts w:eastAsia="Times New Roman" w:cs="Arial"/>
                <w:color w:val="003461" w:themeColor="accent1"/>
              </w:rPr>
              <w:t xml:space="preserve">eligible for </w:t>
            </w:r>
            <w:r w:rsidRPr="006F32F1">
              <w:rPr>
                <w:rFonts w:eastAsia="Times New Roman" w:cs="Arial"/>
                <w:color w:val="003461" w:themeColor="accent1"/>
              </w:rPr>
              <w:t>marketplace</w:t>
            </w:r>
            <w:r w:rsidR="008E5777" w:rsidRPr="006F32F1">
              <w:rPr>
                <w:rFonts w:eastAsia="Times New Roman" w:cs="Arial"/>
                <w:color w:val="003461" w:themeColor="accent1"/>
              </w:rPr>
              <w:t xml:space="preserve"> coverage</w:t>
            </w:r>
          </w:p>
        </w:tc>
        <w:tc>
          <w:tcPr>
            <w:tcW w:w="1379" w:type="dxa"/>
            <w:tcBorders>
              <w:top w:val="nil"/>
              <w:left w:val="nil"/>
              <w:bottom w:val="single" w:sz="8" w:space="0" w:color="CBD0D2"/>
              <w:right w:val="single" w:sz="8" w:space="0" w:color="CBD0D2"/>
            </w:tcBorders>
            <w:shd w:val="clear" w:color="auto" w:fill="auto"/>
            <w:vAlign w:val="center"/>
            <w:hideMark/>
          </w:tcPr>
          <w:p w14:paraId="7A640D0B" w14:textId="77777777" w:rsidR="008E5777" w:rsidRPr="008E5777" w:rsidRDefault="008E5777" w:rsidP="008E5777">
            <w:pPr>
              <w:spacing w:after="0"/>
              <w:jc w:val="right"/>
              <w:rPr>
                <w:rFonts w:eastAsia="Times New Roman" w:cs="Arial"/>
              </w:rPr>
            </w:pPr>
            <w:r w:rsidRPr="008E5777">
              <w:rPr>
                <w:rFonts w:eastAsia="Times New Roman" w:cs="Arial"/>
              </w:rPr>
              <w:t>1,240,968</w:t>
            </w:r>
          </w:p>
        </w:tc>
        <w:tc>
          <w:tcPr>
            <w:tcW w:w="1380" w:type="dxa"/>
            <w:gridSpan w:val="2"/>
            <w:tcBorders>
              <w:top w:val="nil"/>
              <w:left w:val="nil"/>
              <w:bottom w:val="single" w:sz="8" w:space="0" w:color="CBD0D2"/>
              <w:right w:val="single" w:sz="8" w:space="0" w:color="CBD0D2"/>
            </w:tcBorders>
            <w:shd w:val="clear" w:color="auto" w:fill="auto"/>
            <w:vAlign w:val="center"/>
            <w:hideMark/>
          </w:tcPr>
          <w:p w14:paraId="6B554FFC" w14:textId="7DE1CA84" w:rsidR="008E5777" w:rsidRPr="008E5777" w:rsidRDefault="008E5777" w:rsidP="006F32F1">
            <w:pPr>
              <w:tabs>
                <w:tab w:val="decimal" w:pos="627"/>
              </w:tabs>
              <w:spacing w:after="0"/>
              <w:rPr>
                <w:rFonts w:eastAsia="Times New Roman" w:cs="Arial"/>
              </w:rPr>
            </w:pPr>
            <w:r w:rsidRPr="008E5777">
              <w:rPr>
                <w:rFonts w:eastAsia="Times New Roman" w:cs="Arial"/>
              </w:rPr>
              <w:t>22.1</w:t>
            </w:r>
          </w:p>
        </w:tc>
        <w:tc>
          <w:tcPr>
            <w:tcW w:w="1379" w:type="dxa"/>
            <w:tcBorders>
              <w:top w:val="nil"/>
              <w:left w:val="nil"/>
              <w:bottom w:val="single" w:sz="8" w:space="0" w:color="CBD0D2"/>
              <w:right w:val="single" w:sz="8" w:space="0" w:color="CBD0D2"/>
            </w:tcBorders>
            <w:shd w:val="clear" w:color="auto" w:fill="auto"/>
            <w:vAlign w:val="center"/>
            <w:hideMark/>
          </w:tcPr>
          <w:p w14:paraId="42EA7374" w14:textId="77777777" w:rsidR="008E5777" w:rsidRPr="008E5777" w:rsidRDefault="008E5777" w:rsidP="008E5777">
            <w:pPr>
              <w:spacing w:after="0"/>
              <w:jc w:val="right"/>
              <w:rPr>
                <w:rFonts w:eastAsia="Times New Roman" w:cs="Arial"/>
              </w:rPr>
            </w:pPr>
            <w:r w:rsidRPr="008E5777">
              <w:rPr>
                <w:rFonts w:eastAsia="Times New Roman" w:cs="Arial"/>
              </w:rPr>
              <w:t>661,285</w:t>
            </w:r>
          </w:p>
        </w:tc>
        <w:tc>
          <w:tcPr>
            <w:tcW w:w="1380" w:type="dxa"/>
            <w:gridSpan w:val="2"/>
            <w:tcBorders>
              <w:top w:val="nil"/>
              <w:left w:val="nil"/>
              <w:bottom w:val="single" w:sz="8" w:space="0" w:color="CBD0D2"/>
              <w:right w:val="single" w:sz="8" w:space="0" w:color="CBD0D2"/>
            </w:tcBorders>
            <w:shd w:val="clear" w:color="auto" w:fill="auto"/>
            <w:vAlign w:val="center"/>
            <w:hideMark/>
          </w:tcPr>
          <w:p w14:paraId="375BFB30" w14:textId="7E3F39A0" w:rsidR="008E5777" w:rsidRPr="008E5777" w:rsidRDefault="005A5662" w:rsidP="006F32F1">
            <w:pPr>
              <w:tabs>
                <w:tab w:val="decimal" w:pos="588"/>
              </w:tabs>
              <w:spacing w:after="0"/>
              <w:rPr>
                <w:rFonts w:eastAsia="Times New Roman" w:cs="Arial"/>
              </w:rPr>
            </w:pPr>
            <w:r>
              <w:rPr>
                <w:rFonts w:eastAsia="Times New Roman" w:cs="Arial"/>
              </w:rPr>
              <w:t>40.3</w:t>
            </w:r>
          </w:p>
        </w:tc>
        <w:tc>
          <w:tcPr>
            <w:tcW w:w="1379" w:type="dxa"/>
            <w:tcBorders>
              <w:top w:val="nil"/>
              <w:left w:val="nil"/>
              <w:bottom w:val="single" w:sz="8" w:space="0" w:color="CBD0D2"/>
              <w:right w:val="single" w:sz="8" w:space="0" w:color="CBD0D2"/>
            </w:tcBorders>
            <w:shd w:val="clear" w:color="auto" w:fill="auto"/>
            <w:vAlign w:val="center"/>
            <w:hideMark/>
          </w:tcPr>
          <w:p w14:paraId="5EC0364E" w14:textId="77777777" w:rsidR="008E5777" w:rsidRPr="008E5777" w:rsidRDefault="008E5777" w:rsidP="008E5777">
            <w:pPr>
              <w:spacing w:after="0"/>
              <w:jc w:val="right"/>
              <w:rPr>
                <w:rFonts w:eastAsia="Times New Roman" w:cs="Arial"/>
              </w:rPr>
            </w:pPr>
            <w:r w:rsidRPr="008E5777">
              <w:rPr>
                <w:rFonts w:eastAsia="Times New Roman" w:cs="Arial"/>
              </w:rPr>
              <w:t>3,360,578</w:t>
            </w:r>
          </w:p>
        </w:tc>
        <w:tc>
          <w:tcPr>
            <w:tcW w:w="1380" w:type="dxa"/>
            <w:tcBorders>
              <w:top w:val="nil"/>
              <w:left w:val="nil"/>
              <w:bottom w:val="single" w:sz="8" w:space="0" w:color="CBD0D2"/>
              <w:right w:val="single" w:sz="8" w:space="0" w:color="CBD0D2"/>
            </w:tcBorders>
            <w:shd w:val="clear" w:color="auto" w:fill="auto"/>
            <w:vAlign w:val="center"/>
            <w:hideMark/>
          </w:tcPr>
          <w:p w14:paraId="0EF02E53" w14:textId="5BD8C3E3" w:rsidR="008E5777" w:rsidRPr="008E5777" w:rsidRDefault="008E5777" w:rsidP="006F32F1">
            <w:pPr>
              <w:tabs>
                <w:tab w:val="decimal" w:pos="573"/>
              </w:tabs>
              <w:spacing w:after="0"/>
              <w:rPr>
                <w:rFonts w:eastAsia="Times New Roman" w:cs="Arial"/>
              </w:rPr>
            </w:pPr>
            <w:r w:rsidRPr="008E5777">
              <w:rPr>
                <w:rFonts w:eastAsia="Times New Roman" w:cs="Arial"/>
              </w:rPr>
              <w:t>6</w:t>
            </w:r>
            <w:r w:rsidR="005A5662">
              <w:rPr>
                <w:rFonts w:eastAsia="Times New Roman" w:cs="Arial"/>
              </w:rPr>
              <w:t>6.5</w:t>
            </w:r>
          </w:p>
        </w:tc>
      </w:tr>
      <w:tr w:rsidR="006F32F1" w:rsidRPr="008E5777" w14:paraId="5C999385" w14:textId="77777777" w:rsidTr="006F32F1">
        <w:trPr>
          <w:trHeight w:val="512"/>
        </w:trPr>
        <w:tc>
          <w:tcPr>
            <w:tcW w:w="2083" w:type="dxa"/>
            <w:tcBorders>
              <w:top w:val="nil"/>
              <w:left w:val="single" w:sz="8" w:space="0" w:color="CBD0D2"/>
              <w:bottom w:val="single" w:sz="8" w:space="0" w:color="CBD0D2"/>
              <w:right w:val="single" w:sz="8" w:space="0" w:color="CBD0D2"/>
            </w:tcBorders>
            <w:shd w:val="clear" w:color="000000" w:fill="ECECED"/>
            <w:vAlign w:val="center"/>
            <w:hideMark/>
          </w:tcPr>
          <w:p w14:paraId="0B2E3C3E" w14:textId="4D6B40A2" w:rsidR="008E5777" w:rsidRPr="006F32F1" w:rsidRDefault="001469C8" w:rsidP="00787183">
            <w:pPr>
              <w:spacing w:after="0"/>
              <w:rPr>
                <w:rFonts w:eastAsia="Times New Roman" w:cs="Arial"/>
                <w:color w:val="003461" w:themeColor="accent1"/>
              </w:rPr>
            </w:pPr>
            <w:r w:rsidRPr="006F32F1">
              <w:rPr>
                <w:rFonts w:eastAsia="Times New Roman" w:cs="Arial"/>
                <w:color w:val="003461" w:themeColor="accent1"/>
              </w:rPr>
              <w:t>Marketplace</w:t>
            </w:r>
            <w:r w:rsidR="00787183" w:rsidRPr="006F32F1">
              <w:rPr>
                <w:rFonts w:eastAsia="Times New Roman" w:cs="Arial"/>
                <w:color w:val="003461" w:themeColor="accent1"/>
              </w:rPr>
              <w:t xml:space="preserve"> d</w:t>
            </w:r>
            <w:r w:rsidR="008E5777" w:rsidRPr="006F32F1">
              <w:rPr>
                <w:rFonts w:eastAsia="Times New Roman" w:cs="Arial"/>
                <w:color w:val="003461" w:themeColor="accent1"/>
              </w:rPr>
              <w:t>etermine</w:t>
            </w:r>
            <w:r w:rsidR="00787183" w:rsidRPr="006F32F1">
              <w:rPr>
                <w:rFonts w:eastAsia="Times New Roman" w:cs="Arial"/>
                <w:color w:val="003461" w:themeColor="accent1"/>
              </w:rPr>
              <w:t>d individual is</w:t>
            </w:r>
            <w:r w:rsidR="008E5777" w:rsidRPr="006F32F1">
              <w:rPr>
                <w:rFonts w:eastAsia="Times New Roman" w:cs="Arial"/>
                <w:color w:val="003461" w:themeColor="accent1"/>
              </w:rPr>
              <w:t xml:space="preserve"> eligible for financial assistance</w:t>
            </w:r>
          </w:p>
        </w:tc>
        <w:tc>
          <w:tcPr>
            <w:tcW w:w="1379" w:type="dxa"/>
            <w:tcBorders>
              <w:top w:val="nil"/>
              <w:left w:val="nil"/>
              <w:bottom w:val="single" w:sz="8" w:space="0" w:color="CBD0D2"/>
              <w:right w:val="single" w:sz="8" w:space="0" w:color="CBD0D2"/>
            </w:tcBorders>
            <w:shd w:val="clear" w:color="000000" w:fill="ECECED"/>
            <w:vAlign w:val="center"/>
            <w:hideMark/>
          </w:tcPr>
          <w:p w14:paraId="07C9DD1C" w14:textId="77777777" w:rsidR="008E5777" w:rsidRPr="008E5777" w:rsidRDefault="008E5777" w:rsidP="008E5777">
            <w:pPr>
              <w:spacing w:after="0"/>
              <w:jc w:val="right"/>
              <w:rPr>
                <w:rFonts w:eastAsia="Times New Roman" w:cs="Arial"/>
              </w:rPr>
            </w:pPr>
            <w:r w:rsidRPr="008E5777">
              <w:rPr>
                <w:rFonts w:eastAsia="Times New Roman" w:cs="Arial"/>
              </w:rPr>
              <w:t>1,061,442</w:t>
            </w:r>
          </w:p>
        </w:tc>
        <w:tc>
          <w:tcPr>
            <w:tcW w:w="1380" w:type="dxa"/>
            <w:gridSpan w:val="2"/>
            <w:tcBorders>
              <w:top w:val="nil"/>
              <w:left w:val="nil"/>
              <w:bottom w:val="single" w:sz="8" w:space="0" w:color="CBD0D2"/>
              <w:right w:val="single" w:sz="8" w:space="0" w:color="CBD0D2"/>
            </w:tcBorders>
            <w:shd w:val="clear" w:color="000000" w:fill="ECECED"/>
            <w:vAlign w:val="center"/>
            <w:hideMark/>
          </w:tcPr>
          <w:p w14:paraId="663432B1" w14:textId="5A232116" w:rsidR="008E5777" w:rsidRPr="008E5777" w:rsidRDefault="008E5777" w:rsidP="006F32F1">
            <w:pPr>
              <w:tabs>
                <w:tab w:val="decimal" w:pos="627"/>
              </w:tabs>
              <w:spacing w:after="0"/>
              <w:rPr>
                <w:rFonts w:eastAsia="Times New Roman" w:cs="Arial"/>
              </w:rPr>
            </w:pPr>
            <w:r w:rsidRPr="008E5777">
              <w:rPr>
                <w:rFonts w:eastAsia="Times New Roman" w:cs="Arial"/>
              </w:rPr>
              <w:t>18.9</w:t>
            </w:r>
          </w:p>
        </w:tc>
        <w:tc>
          <w:tcPr>
            <w:tcW w:w="1379" w:type="dxa"/>
            <w:tcBorders>
              <w:top w:val="nil"/>
              <w:left w:val="nil"/>
              <w:bottom w:val="single" w:sz="8" w:space="0" w:color="CBD0D2"/>
              <w:right w:val="single" w:sz="8" w:space="0" w:color="CBD0D2"/>
            </w:tcBorders>
            <w:shd w:val="clear" w:color="000000" w:fill="ECECED"/>
            <w:vAlign w:val="center"/>
            <w:hideMark/>
          </w:tcPr>
          <w:p w14:paraId="7B89A0FD" w14:textId="77777777" w:rsidR="008E5777" w:rsidRPr="008E5777" w:rsidRDefault="008E5777" w:rsidP="008E5777">
            <w:pPr>
              <w:spacing w:after="0"/>
              <w:jc w:val="right"/>
              <w:rPr>
                <w:rFonts w:eastAsia="Times New Roman" w:cs="Arial"/>
              </w:rPr>
            </w:pPr>
            <w:r w:rsidRPr="008E5777">
              <w:rPr>
                <w:rFonts w:eastAsia="Times New Roman" w:cs="Arial"/>
              </w:rPr>
              <w:t>542,098</w:t>
            </w:r>
          </w:p>
        </w:tc>
        <w:tc>
          <w:tcPr>
            <w:tcW w:w="1380" w:type="dxa"/>
            <w:gridSpan w:val="2"/>
            <w:tcBorders>
              <w:top w:val="nil"/>
              <w:left w:val="nil"/>
              <w:bottom w:val="single" w:sz="8" w:space="0" w:color="CBD0D2"/>
              <w:right w:val="single" w:sz="8" w:space="0" w:color="CBD0D2"/>
            </w:tcBorders>
            <w:shd w:val="clear" w:color="000000" w:fill="ECECED"/>
            <w:vAlign w:val="center"/>
            <w:hideMark/>
          </w:tcPr>
          <w:p w14:paraId="69F2114E" w14:textId="5A92A61C" w:rsidR="008E5777" w:rsidRPr="008E5777" w:rsidRDefault="005A5662" w:rsidP="006F32F1">
            <w:pPr>
              <w:tabs>
                <w:tab w:val="decimal" w:pos="588"/>
              </w:tabs>
              <w:spacing w:after="0"/>
              <w:rPr>
                <w:rFonts w:eastAsia="Times New Roman" w:cs="Arial"/>
              </w:rPr>
            </w:pPr>
            <w:r>
              <w:rPr>
                <w:rFonts w:eastAsia="Times New Roman" w:cs="Arial"/>
              </w:rPr>
              <w:t>33.0</w:t>
            </w:r>
          </w:p>
        </w:tc>
        <w:tc>
          <w:tcPr>
            <w:tcW w:w="1379" w:type="dxa"/>
            <w:tcBorders>
              <w:top w:val="nil"/>
              <w:left w:val="nil"/>
              <w:bottom w:val="single" w:sz="8" w:space="0" w:color="CBD0D2"/>
              <w:right w:val="single" w:sz="8" w:space="0" w:color="CBD0D2"/>
            </w:tcBorders>
            <w:shd w:val="clear" w:color="000000" w:fill="ECECED"/>
            <w:vAlign w:val="center"/>
            <w:hideMark/>
          </w:tcPr>
          <w:p w14:paraId="068EBFDF" w14:textId="77777777" w:rsidR="008E5777" w:rsidRPr="008E5777" w:rsidRDefault="008E5777" w:rsidP="008E5777">
            <w:pPr>
              <w:spacing w:after="0"/>
              <w:jc w:val="right"/>
              <w:rPr>
                <w:rFonts w:eastAsia="Times New Roman" w:cs="Arial"/>
              </w:rPr>
            </w:pPr>
            <w:r w:rsidRPr="008E5777">
              <w:rPr>
                <w:rFonts w:eastAsia="Times New Roman" w:cs="Arial"/>
              </w:rPr>
              <w:t>1,882,431</w:t>
            </w:r>
          </w:p>
        </w:tc>
        <w:tc>
          <w:tcPr>
            <w:tcW w:w="1380" w:type="dxa"/>
            <w:tcBorders>
              <w:top w:val="nil"/>
              <w:left w:val="nil"/>
              <w:bottom w:val="single" w:sz="8" w:space="0" w:color="CBD0D2"/>
              <w:right w:val="single" w:sz="8" w:space="0" w:color="CBD0D2"/>
            </w:tcBorders>
            <w:shd w:val="clear" w:color="000000" w:fill="ECECED"/>
            <w:vAlign w:val="center"/>
            <w:hideMark/>
          </w:tcPr>
          <w:p w14:paraId="2D637C05" w14:textId="1095BF4E" w:rsidR="008E5777" w:rsidRPr="008E5777" w:rsidRDefault="008E5777" w:rsidP="006F32F1">
            <w:pPr>
              <w:tabs>
                <w:tab w:val="decimal" w:pos="573"/>
              </w:tabs>
              <w:spacing w:after="0"/>
              <w:rPr>
                <w:rFonts w:eastAsia="Times New Roman" w:cs="Arial"/>
              </w:rPr>
            </w:pPr>
            <w:r w:rsidRPr="008E5777">
              <w:rPr>
                <w:rFonts w:eastAsia="Times New Roman" w:cs="Arial"/>
              </w:rPr>
              <w:t>37</w:t>
            </w:r>
            <w:r w:rsidR="005A5662">
              <w:rPr>
                <w:rFonts w:eastAsia="Times New Roman" w:cs="Arial"/>
              </w:rPr>
              <w:t>.3</w:t>
            </w:r>
          </w:p>
        </w:tc>
      </w:tr>
      <w:tr w:rsidR="008E5777" w:rsidRPr="008E5777" w14:paraId="3954C836" w14:textId="77777777" w:rsidTr="006F32F1">
        <w:trPr>
          <w:trHeight w:val="489"/>
        </w:trPr>
        <w:tc>
          <w:tcPr>
            <w:tcW w:w="2083" w:type="dxa"/>
            <w:tcBorders>
              <w:top w:val="nil"/>
              <w:left w:val="single" w:sz="8" w:space="0" w:color="CBD0D2"/>
              <w:bottom w:val="single" w:sz="8" w:space="0" w:color="CBD0D2"/>
              <w:right w:val="single" w:sz="8" w:space="0" w:color="CBD0D2"/>
            </w:tcBorders>
            <w:shd w:val="clear" w:color="auto" w:fill="auto"/>
            <w:vAlign w:val="center"/>
            <w:hideMark/>
          </w:tcPr>
          <w:p w14:paraId="0ABD4F01" w14:textId="10E1C684" w:rsidR="008E5777" w:rsidRPr="006F32F1" w:rsidRDefault="00787183" w:rsidP="00787183">
            <w:pPr>
              <w:spacing w:after="0"/>
              <w:rPr>
                <w:rFonts w:eastAsia="Times New Roman" w:cs="Arial"/>
                <w:color w:val="003461" w:themeColor="accent1"/>
              </w:rPr>
            </w:pPr>
            <w:r w:rsidRPr="006F32F1">
              <w:rPr>
                <w:rFonts w:eastAsia="Times New Roman" w:cs="Arial"/>
                <w:color w:val="003461" w:themeColor="accent1"/>
              </w:rPr>
              <w:t>Individual s</w:t>
            </w:r>
            <w:r w:rsidR="008E5777" w:rsidRPr="006F32F1">
              <w:rPr>
                <w:rFonts w:eastAsia="Times New Roman" w:cs="Arial"/>
                <w:color w:val="003461" w:themeColor="accent1"/>
              </w:rPr>
              <w:t>electe</w:t>
            </w:r>
            <w:r w:rsidRPr="006F32F1">
              <w:rPr>
                <w:rFonts w:eastAsia="Times New Roman" w:cs="Arial"/>
                <w:color w:val="003461" w:themeColor="accent1"/>
              </w:rPr>
              <w:t>d</w:t>
            </w:r>
            <w:r w:rsidR="008E5777" w:rsidRPr="006F32F1">
              <w:rPr>
                <w:rFonts w:eastAsia="Times New Roman" w:cs="Arial"/>
                <w:color w:val="003461" w:themeColor="accent1"/>
              </w:rPr>
              <w:t xml:space="preserve"> a</w:t>
            </w:r>
            <w:r w:rsidR="001469C8" w:rsidRPr="006F32F1">
              <w:rPr>
                <w:rFonts w:eastAsia="Times New Roman" w:cs="Arial"/>
                <w:color w:val="003461" w:themeColor="accent1"/>
              </w:rPr>
              <w:t xml:space="preserve"> marketplace</w:t>
            </w:r>
            <w:r w:rsidR="008E5777" w:rsidRPr="006F32F1">
              <w:rPr>
                <w:rFonts w:eastAsia="Times New Roman" w:cs="Arial"/>
                <w:color w:val="003461" w:themeColor="accent1"/>
              </w:rPr>
              <w:t xml:space="preserve"> plan</w:t>
            </w:r>
          </w:p>
        </w:tc>
        <w:tc>
          <w:tcPr>
            <w:tcW w:w="1379" w:type="dxa"/>
            <w:tcBorders>
              <w:top w:val="nil"/>
              <w:left w:val="nil"/>
              <w:bottom w:val="single" w:sz="8" w:space="0" w:color="CBD0D2"/>
              <w:right w:val="single" w:sz="8" w:space="0" w:color="CBD0D2"/>
            </w:tcBorders>
            <w:shd w:val="clear" w:color="auto" w:fill="auto"/>
            <w:vAlign w:val="center"/>
            <w:hideMark/>
          </w:tcPr>
          <w:p w14:paraId="1B8C8C3E" w14:textId="77777777" w:rsidR="008E5777" w:rsidRPr="008E5777" w:rsidRDefault="008E5777" w:rsidP="008E5777">
            <w:pPr>
              <w:spacing w:after="0"/>
              <w:jc w:val="right"/>
              <w:rPr>
                <w:rFonts w:eastAsia="Times New Roman" w:cs="Arial"/>
              </w:rPr>
            </w:pPr>
            <w:r w:rsidRPr="008E5777">
              <w:rPr>
                <w:rFonts w:eastAsia="Times New Roman" w:cs="Arial"/>
              </w:rPr>
              <w:t>940,154</w:t>
            </w:r>
          </w:p>
        </w:tc>
        <w:tc>
          <w:tcPr>
            <w:tcW w:w="1380" w:type="dxa"/>
            <w:gridSpan w:val="2"/>
            <w:tcBorders>
              <w:top w:val="nil"/>
              <w:left w:val="nil"/>
              <w:bottom w:val="single" w:sz="8" w:space="0" w:color="CBD0D2"/>
              <w:right w:val="single" w:sz="8" w:space="0" w:color="CBD0D2"/>
            </w:tcBorders>
            <w:shd w:val="clear" w:color="auto" w:fill="auto"/>
            <w:vAlign w:val="center"/>
            <w:hideMark/>
          </w:tcPr>
          <w:p w14:paraId="79ECE6CF" w14:textId="10B94201" w:rsidR="008E5777" w:rsidRPr="008E5777" w:rsidRDefault="008E5777" w:rsidP="006F32F1">
            <w:pPr>
              <w:tabs>
                <w:tab w:val="decimal" w:pos="627"/>
              </w:tabs>
              <w:spacing w:after="0"/>
              <w:rPr>
                <w:rFonts w:eastAsia="Times New Roman" w:cs="Arial"/>
              </w:rPr>
            </w:pPr>
            <w:r w:rsidRPr="008E5777">
              <w:rPr>
                <w:rFonts w:eastAsia="Times New Roman" w:cs="Arial"/>
              </w:rPr>
              <w:t>16.7</w:t>
            </w:r>
          </w:p>
        </w:tc>
        <w:tc>
          <w:tcPr>
            <w:tcW w:w="1379" w:type="dxa"/>
            <w:tcBorders>
              <w:top w:val="nil"/>
              <w:left w:val="nil"/>
              <w:bottom w:val="single" w:sz="8" w:space="0" w:color="CBD0D2"/>
              <w:right w:val="single" w:sz="8" w:space="0" w:color="CBD0D2"/>
            </w:tcBorders>
            <w:shd w:val="clear" w:color="auto" w:fill="auto"/>
            <w:vAlign w:val="center"/>
            <w:hideMark/>
          </w:tcPr>
          <w:p w14:paraId="105F8D8F" w14:textId="77777777" w:rsidR="008E5777" w:rsidRPr="008E5777" w:rsidRDefault="008E5777" w:rsidP="008E5777">
            <w:pPr>
              <w:spacing w:after="0"/>
              <w:jc w:val="right"/>
              <w:rPr>
                <w:rFonts w:eastAsia="Times New Roman" w:cs="Arial"/>
              </w:rPr>
            </w:pPr>
            <w:r w:rsidRPr="008E5777">
              <w:rPr>
                <w:rFonts w:eastAsia="Times New Roman" w:cs="Arial"/>
              </w:rPr>
              <w:t>219,745</w:t>
            </w:r>
          </w:p>
        </w:tc>
        <w:tc>
          <w:tcPr>
            <w:tcW w:w="1380" w:type="dxa"/>
            <w:gridSpan w:val="2"/>
            <w:tcBorders>
              <w:top w:val="nil"/>
              <w:left w:val="nil"/>
              <w:bottom w:val="single" w:sz="8" w:space="0" w:color="CBD0D2"/>
              <w:right w:val="single" w:sz="8" w:space="0" w:color="CBD0D2"/>
            </w:tcBorders>
            <w:shd w:val="clear" w:color="auto" w:fill="auto"/>
            <w:vAlign w:val="center"/>
            <w:hideMark/>
          </w:tcPr>
          <w:p w14:paraId="3CC67241" w14:textId="46FB6B18" w:rsidR="008E5777" w:rsidRPr="008E5777" w:rsidRDefault="005A5662" w:rsidP="006F32F1">
            <w:pPr>
              <w:tabs>
                <w:tab w:val="decimal" w:pos="588"/>
              </w:tabs>
              <w:spacing w:after="0"/>
              <w:rPr>
                <w:rFonts w:eastAsia="Times New Roman" w:cs="Arial"/>
              </w:rPr>
            </w:pPr>
            <w:r>
              <w:rPr>
                <w:rFonts w:eastAsia="Times New Roman" w:cs="Arial"/>
              </w:rPr>
              <w:t>13.4</w:t>
            </w:r>
          </w:p>
        </w:tc>
        <w:tc>
          <w:tcPr>
            <w:tcW w:w="1379" w:type="dxa"/>
            <w:tcBorders>
              <w:top w:val="nil"/>
              <w:left w:val="nil"/>
              <w:bottom w:val="single" w:sz="8" w:space="0" w:color="CBD0D2"/>
              <w:right w:val="single" w:sz="8" w:space="0" w:color="CBD0D2"/>
            </w:tcBorders>
            <w:shd w:val="clear" w:color="auto" w:fill="auto"/>
            <w:vAlign w:val="center"/>
            <w:hideMark/>
          </w:tcPr>
          <w:p w14:paraId="2419F025" w14:textId="77777777" w:rsidR="008E5777" w:rsidRPr="008E5777" w:rsidRDefault="008E5777" w:rsidP="008E5777">
            <w:pPr>
              <w:spacing w:after="0"/>
              <w:jc w:val="right"/>
              <w:rPr>
                <w:rFonts w:eastAsia="Times New Roman" w:cs="Arial"/>
              </w:rPr>
            </w:pPr>
            <w:r w:rsidRPr="008E5777">
              <w:rPr>
                <w:rFonts w:eastAsia="Times New Roman" w:cs="Arial"/>
              </w:rPr>
              <w:t>617,577</w:t>
            </w:r>
          </w:p>
        </w:tc>
        <w:tc>
          <w:tcPr>
            <w:tcW w:w="1380" w:type="dxa"/>
            <w:tcBorders>
              <w:top w:val="nil"/>
              <w:left w:val="nil"/>
              <w:bottom w:val="single" w:sz="8" w:space="0" w:color="CBD0D2"/>
              <w:right w:val="single" w:sz="8" w:space="0" w:color="CBD0D2"/>
            </w:tcBorders>
            <w:shd w:val="clear" w:color="auto" w:fill="auto"/>
            <w:vAlign w:val="center"/>
            <w:hideMark/>
          </w:tcPr>
          <w:p w14:paraId="121E8EB1" w14:textId="36485947" w:rsidR="008E5777" w:rsidRPr="008E5777" w:rsidRDefault="008E5777" w:rsidP="006F32F1">
            <w:pPr>
              <w:tabs>
                <w:tab w:val="decimal" w:pos="573"/>
              </w:tabs>
              <w:spacing w:after="0"/>
              <w:rPr>
                <w:rFonts w:eastAsia="Times New Roman" w:cs="Arial"/>
              </w:rPr>
            </w:pPr>
            <w:r w:rsidRPr="008E5777">
              <w:rPr>
                <w:rFonts w:eastAsia="Times New Roman" w:cs="Arial"/>
              </w:rPr>
              <w:t>12</w:t>
            </w:r>
            <w:r w:rsidR="005A5662">
              <w:rPr>
                <w:rFonts w:eastAsia="Times New Roman" w:cs="Arial"/>
              </w:rPr>
              <w:t>.2</w:t>
            </w:r>
          </w:p>
        </w:tc>
      </w:tr>
    </w:tbl>
    <w:p w14:paraId="017E2519" w14:textId="6A44A014" w:rsidR="00B53665" w:rsidRDefault="00B53665" w:rsidP="00B53665">
      <w:pPr>
        <w:pStyle w:val="TableNotesTitle"/>
        <w:rPr>
          <w:b w:val="0"/>
        </w:rPr>
      </w:pPr>
      <w:r w:rsidRPr="00BB38BD">
        <w:t xml:space="preserve">Notes: </w:t>
      </w:r>
      <w:r w:rsidR="007877C4" w:rsidRPr="007877C4">
        <w:rPr>
          <w:b w:val="0"/>
        </w:rPr>
        <w:t xml:space="preserve">CHIP is the </w:t>
      </w:r>
      <w:r w:rsidR="001D71A0">
        <w:rPr>
          <w:b w:val="0"/>
        </w:rPr>
        <w:t xml:space="preserve">State </w:t>
      </w:r>
      <w:r w:rsidR="007877C4" w:rsidRPr="007877C4">
        <w:rPr>
          <w:b w:val="0"/>
        </w:rPr>
        <w:t xml:space="preserve">Children’s Health Insurance Program. </w:t>
      </w:r>
      <w:r w:rsidR="001469C8">
        <w:rPr>
          <w:b w:val="0"/>
        </w:rPr>
        <w:t xml:space="preserve">FFM is the </w:t>
      </w:r>
      <w:r w:rsidR="001469C8" w:rsidRPr="001469C8">
        <w:rPr>
          <w:b w:val="0"/>
        </w:rPr>
        <w:t>federally facilitated</w:t>
      </w:r>
      <w:r w:rsidR="001469C8">
        <w:rPr>
          <w:b w:val="0"/>
        </w:rPr>
        <w:t xml:space="preserve"> marketplace. SBM is the</w:t>
      </w:r>
      <w:r w:rsidR="001469C8" w:rsidRPr="001469C8">
        <w:rPr>
          <w:b w:val="0"/>
        </w:rPr>
        <w:t xml:space="preserve"> state-based marketplace</w:t>
      </w:r>
      <w:r w:rsidR="001469C8">
        <w:rPr>
          <w:b w:val="0"/>
        </w:rPr>
        <w:t xml:space="preserve">. </w:t>
      </w:r>
      <w:r w:rsidRPr="001469C8">
        <w:rPr>
          <w:b w:val="0"/>
        </w:rPr>
        <w:t>N</w:t>
      </w:r>
      <w:r w:rsidRPr="00BB38BD">
        <w:rPr>
          <w:b w:val="0"/>
        </w:rPr>
        <w:t xml:space="preserve">/A is not applicable because states with integrated systems do not require beneficiaries to submit a new application. </w:t>
      </w:r>
      <w:bookmarkStart w:id="0" w:name="_Hlk181119694"/>
      <w:r w:rsidR="00FD7ED2" w:rsidRPr="00BB38BD">
        <w:rPr>
          <w:b w:val="0"/>
        </w:rPr>
        <w:t>“</w:t>
      </w:r>
      <w:r w:rsidR="001469C8">
        <w:rPr>
          <w:b w:val="0"/>
        </w:rPr>
        <w:t>Marketplace</w:t>
      </w:r>
      <w:r w:rsidR="00AF6237" w:rsidRPr="00BB38BD">
        <w:rPr>
          <w:b w:val="0"/>
        </w:rPr>
        <w:t xml:space="preserve"> determined individual is eligible for </w:t>
      </w:r>
      <w:r w:rsidR="001469C8">
        <w:rPr>
          <w:b w:val="0"/>
        </w:rPr>
        <w:t>marketplace</w:t>
      </w:r>
      <w:r w:rsidR="00AF6237" w:rsidRPr="00BB38BD">
        <w:rPr>
          <w:b w:val="0"/>
        </w:rPr>
        <w:t xml:space="preserve"> coverage</w:t>
      </w:r>
      <w:r w:rsidR="00BB38BD" w:rsidRPr="00BB38BD">
        <w:rPr>
          <w:b w:val="0"/>
        </w:rPr>
        <w:t>”</w:t>
      </w:r>
      <w:r w:rsidR="001C2F9C" w:rsidRPr="00BB38BD">
        <w:rPr>
          <w:b w:val="0"/>
        </w:rPr>
        <w:t xml:space="preserve"> </w:t>
      </w:r>
      <w:r w:rsidR="00BB38BD" w:rsidRPr="00BB38BD">
        <w:rPr>
          <w:b w:val="0"/>
        </w:rPr>
        <w:t>are</w:t>
      </w:r>
      <w:r w:rsidR="001C2F9C" w:rsidRPr="00BB38BD">
        <w:rPr>
          <w:b w:val="0"/>
        </w:rPr>
        <w:t xml:space="preserve"> individuals who applied for </w:t>
      </w:r>
      <w:r w:rsidR="001469C8">
        <w:rPr>
          <w:b w:val="0"/>
        </w:rPr>
        <w:t>marketplace</w:t>
      </w:r>
      <w:r w:rsidR="001C2F9C" w:rsidRPr="00BB38BD">
        <w:rPr>
          <w:b w:val="0"/>
        </w:rPr>
        <w:t xml:space="preserve"> coverage and were not determined eligible or potentially </w:t>
      </w:r>
      <w:r w:rsidR="001469C8">
        <w:rPr>
          <w:b w:val="0"/>
        </w:rPr>
        <w:t>for Medicaid or CHIP</w:t>
      </w:r>
      <w:r w:rsidR="00BB38BD" w:rsidRPr="00BB38BD">
        <w:rPr>
          <w:b w:val="0"/>
        </w:rPr>
        <w:t xml:space="preserve"> by the </w:t>
      </w:r>
      <w:r w:rsidR="001469C8">
        <w:rPr>
          <w:b w:val="0"/>
        </w:rPr>
        <w:t>FFM or SB</w:t>
      </w:r>
      <w:r w:rsidR="009E46C2">
        <w:rPr>
          <w:b w:val="0"/>
        </w:rPr>
        <w:t>M</w:t>
      </w:r>
      <w:r w:rsidR="001C2F9C" w:rsidRPr="00BB38BD">
        <w:rPr>
          <w:b w:val="0"/>
        </w:rPr>
        <w:t>. Those who are determined Medicaid</w:t>
      </w:r>
      <w:r w:rsidR="001469C8">
        <w:rPr>
          <w:b w:val="0"/>
        </w:rPr>
        <w:t xml:space="preserve"> or </w:t>
      </w:r>
      <w:r w:rsidR="001C2F9C" w:rsidRPr="00BB38BD">
        <w:rPr>
          <w:b w:val="0"/>
        </w:rPr>
        <w:t>CHIP-eligible or potentially eligible</w:t>
      </w:r>
      <w:r w:rsidR="00BB38BD" w:rsidRPr="00BB38BD">
        <w:rPr>
          <w:b w:val="0"/>
        </w:rPr>
        <w:t xml:space="preserve"> by the </w:t>
      </w:r>
      <w:r w:rsidR="001469C8">
        <w:rPr>
          <w:b w:val="0"/>
        </w:rPr>
        <w:t>marketplace</w:t>
      </w:r>
      <w:r w:rsidR="00BB38BD" w:rsidRPr="00BB38BD">
        <w:rPr>
          <w:b w:val="0"/>
        </w:rPr>
        <w:t xml:space="preserve"> must have their account transferred back to the state Medicaid or CHIP agency (45 CFR 155.302(b), 45 CFR 155.302(c), 45 CFR 155.345).</w:t>
      </w:r>
      <w:bookmarkEnd w:id="0"/>
    </w:p>
    <w:p w14:paraId="5F61E1AF" w14:textId="19CB718F" w:rsidR="00B53665" w:rsidRDefault="00B53665" w:rsidP="00B53665">
      <w:pPr>
        <w:pStyle w:val="TableNotesTitle"/>
        <w:rPr>
          <w:b w:val="0"/>
        </w:rPr>
      </w:pPr>
      <w:r>
        <w:t>Source</w:t>
      </w:r>
      <w:r w:rsidR="00104E8A">
        <w:t>s</w:t>
      </w:r>
      <w:r>
        <w:t xml:space="preserve">: </w:t>
      </w:r>
      <w:r>
        <w:rPr>
          <w:b w:val="0"/>
        </w:rPr>
        <w:t>CMS 2024</w:t>
      </w:r>
      <w:r w:rsidR="00FA5939">
        <w:rPr>
          <w:b w:val="0"/>
        </w:rPr>
        <w:t>i</w:t>
      </w:r>
      <w:r>
        <w:t xml:space="preserve">; </w:t>
      </w:r>
      <w:r>
        <w:rPr>
          <w:b w:val="0"/>
        </w:rPr>
        <w:t>MAPAC 2024c</w:t>
      </w:r>
      <w:r>
        <w:t xml:space="preserve">, </w:t>
      </w:r>
      <w:r>
        <w:rPr>
          <w:b w:val="0"/>
        </w:rPr>
        <w:t>2024d.</w:t>
      </w:r>
    </w:p>
    <w:p w14:paraId="1706582B" w14:textId="69713479" w:rsidR="00D70D38" w:rsidRDefault="00D70D38" w:rsidP="00B53665">
      <w:pPr>
        <w:pStyle w:val="TableNotesTitle"/>
        <w:rPr>
          <w:b w:val="0"/>
        </w:rPr>
      </w:pPr>
    </w:p>
    <w:p w14:paraId="491BD9DB" w14:textId="0261A105" w:rsidR="00B934D9" w:rsidRPr="003B31B3" w:rsidRDefault="005B5ABB" w:rsidP="003B31B3">
      <w:r>
        <w:t>During</w:t>
      </w:r>
      <w:r w:rsidR="00D83C06" w:rsidRPr="00D83C06">
        <w:t xml:space="preserve"> the unwinding period</w:t>
      </w:r>
      <w:r w:rsidR="00B65EC9">
        <w:t>,</w:t>
      </w:r>
      <w:r w:rsidR="00D83C06" w:rsidRPr="00D83C06">
        <w:t xml:space="preserve"> there was some variation in the percent</w:t>
      </w:r>
      <w:r>
        <w:t>age</w:t>
      </w:r>
      <w:r w:rsidR="00D83C06" w:rsidRPr="00D83C06">
        <w:t xml:space="preserve"> of individuals who transitioned their coverage from Medicaid to a</w:t>
      </w:r>
      <w:r w:rsidR="001469C8">
        <w:t xml:space="preserve"> marketplace</w:t>
      </w:r>
      <w:r w:rsidR="00D83C06" w:rsidRPr="00D83C06">
        <w:t xml:space="preserve"> plan (Figure 3). In FFM states, of those who were determined ineligible for Medicaid and had their accounts transferred to the </w:t>
      </w:r>
      <w:r w:rsidR="001469C8">
        <w:t>marketplace</w:t>
      </w:r>
      <w:r w:rsidR="00D83C06" w:rsidRPr="00D83C06">
        <w:t>, the percent</w:t>
      </w:r>
      <w:r>
        <w:t>age</w:t>
      </w:r>
      <w:r w:rsidR="00D83C06" w:rsidRPr="00D83C06">
        <w:t xml:space="preserve"> who selected a</w:t>
      </w:r>
      <w:r w:rsidR="001469C8">
        <w:t xml:space="preserve"> marketplace</w:t>
      </w:r>
      <w:r w:rsidR="00D83C06" w:rsidRPr="00D83C06">
        <w:t xml:space="preserve"> plan decreased from 18.2 percent in April 2023 to 12.4</w:t>
      </w:r>
      <w:r>
        <w:t xml:space="preserve"> percent</w:t>
      </w:r>
      <w:r w:rsidR="00D83C06" w:rsidRPr="00D83C06">
        <w:t xml:space="preserve"> in April 2024. In states with </w:t>
      </w:r>
      <w:r>
        <w:t xml:space="preserve">an </w:t>
      </w:r>
      <w:r w:rsidR="00D83C06" w:rsidRPr="00D83C06">
        <w:t>SBM and integrated systems, the percent</w:t>
      </w:r>
      <w:r>
        <w:t>age</w:t>
      </w:r>
      <w:r w:rsidR="00D83C06" w:rsidRPr="00D83C06">
        <w:t xml:space="preserve"> decreased from 12.</w:t>
      </w:r>
      <w:r w:rsidR="001469C8">
        <w:t>5</w:t>
      </w:r>
      <w:r w:rsidR="00D83C06" w:rsidRPr="00D83C06">
        <w:t xml:space="preserve"> percent in April 2023 to 10.3 percent in June 2024, but peaked at 17.0 percent in January 2024 during the 2023 open enrollment period. Conversely, in states with </w:t>
      </w:r>
      <w:r>
        <w:t xml:space="preserve">an </w:t>
      </w:r>
      <w:r w:rsidR="00D83C06" w:rsidRPr="00D83C06">
        <w:lastRenderedPageBreak/>
        <w:t>SBM without integrated systems, the percent</w:t>
      </w:r>
      <w:r>
        <w:t>age</w:t>
      </w:r>
      <w:r w:rsidR="00D83C06" w:rsidRPr="00D83C06">
        <w:t xml:space="preserve"> increased from 7.8 percent in April 2023 to 14.4 percent in June 2024, and the percent</w:t>
      </w:r>
      <w:r>
        <w:t>age</w:t>
      </w:r>
      <w:r w:rsidR="00D83C06" w:rsidRPr="00D83C06">
        <w:t xml:space="preserve"> also peaked in January 2024 at 26.0 percent.</w:t>
      </w:r>
    </w:p>
    <w:p w14:paraId="4C817F59" w14:textId="3EDEDC9C" w:rsidR="00B934D9" w:rsidRPr="00DE59D7" w:rsidRDefault="00B934D9" w:rsidP="00B934D9">
      <w:pPr>
        <w:pStyle w:val="Caption"/>
      </w:pPr>
      <w:r w:rsidRPr="00880858">
        <w:rPr>
          <w:b/>
        </w:rPr>
        <w:t xml:space="preserve">FIGURE 3. </w:t>
      </w:r>
      <w:r w:rsidR="00787183">
        <w:t xml:space="preserve">Percent of </w:t>
      </w:r>
      <w:r w:rsidR="00905406">
        <w:t>Medicaid and CHIP-Enrolled Individuals with</w:t>
      </w:r>
      <w:r w:rsidRPr="00880858">
        <w:t xml:space="preserve"> </w:t>
      </w:r>
      <w:r w:rsidR="001469C8">
        <w:t>Marketplace</w:t>
      </w:r>
      <w:r w:rsidR="00787183">
        <w:t xml:space="preserve"> Account Transfers </w:t>
      </w:r>
      <w:r w:rsidR="00E9598E">
        <w:t>W</w:t>
      </w:r>
      <w:bookmarkStart w:id="1" w:name="_GoBack"/>
      <w:bookmarkEnd w:id="1"/>
      <w:r w:rsidR="00787183">
        <w:t>ho Select</w:t>
      </w:r>
      <w:r w:rsidR="008034D3">
        <w:t>ed</w:t>
      </w:r>
      <w:r w:rsidR="00787183">
        <w:t xml:space="preserve"> a</w:t>
      </w:r>
      <w:r w:rsidR="001469C8">
        <w:t xml:space="preserve"> Marketplace</w:t>
      </w:r>
      <w:r w:rsidR="00787183">
        <w:t xml:space="preserve"> Plan,</w:t>
      </w:r>
      <w:r w:rsidRPr="00880858">
        <w:t xml:space="preserve"> by type of</w:t>
      </w:r>
      <w:r w:rsidR="001469C8">
        <w:t xml:space="preserve"> Marketplace</w:t>
      </w:r>
      <w:r w:rsidRPr="00880858">
        <w:t xml:space="preserve">, </w:t>
      </w:r>
      <w:r w:rsidR="00DF6A2E" w:rsidRPr="00DF6A2E">
        <w:t>April 2023-</w:t>
      </w:r>
      <w:r w:rsidR="00DF6A2E">
        <w:t>June</w:t>
      </w:r>
      <w:r w:rsidR="00DF6A2E" w:rsidRPr="00DF6A2E">
        <w:t xml:space="preserve"> 2024</w:t>
      </w:r>
    </w:p>
    <w:p w14:paraId="458DE07E" w14:textId="0F26D25C" w:rsidR="00630EFF" w:rsidRPr="00BF0B71" w:rsidRDefault="002222E0" w:rsidP="00B53665">
      <w:pPr>
        <w:pStyle w:val="TableNotesTitle"/>
        <w:rPr>
          <w:b w:val="0"/>
        </w:rPr>
      </w:pPr>
      <w:r w:rsidRPr="002222E0">
        <w:rPr>
          <w:noProof/>
        </w:rPr>
        <w:t xml:space="preserve"> </w:t>
      </w:r>
      <w:r>
        <w:rPr>
          <w:noProof/>
        </w:rPr>
        <w:drawing>
          <wp:inline distT="0" distB="0" distL="0" distR="0" wp14:anchorId="592166F1" wp14:editId="14F230DA">
            <wp:extent cx="6446520" cy="2987040"/>
            <wp:effectExtent l="0" t="0" r="11430" b="3810"/>
            <wp:docPr id="2" name="Chart 2">
              <a:extLst xmlns:a="http://schemas.openxmlformats.org/drawingml/2006/main">
                <a:ext uri="{FF2B5EF4-FFF2-40B4-BE49-F238E27FC236}">
                  <a16:creationId xmlns:a16="http://schemas.microsoft.com/office/drawing/2014/main" id="{AD2A4501-8E9C-43C6-97EF-2B59195FB3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EEA0AC0" w14:textId="217C9DED" w:rsidR="00B934D9" w:rsidRPr="00B934D9" w:rsidRDefault="00B934D9" w:rsidP="00B934D9">
      <w:pPr>
        <w:pStyle w:val="TableNotesTitle"/>
        <w:rPr>
          <w:b w:val="0"/>
        </w:rPr>
      </w:pPr>
      <w:r>
        <w:t>Notes:</w:t>
      </w:r>
      <w:r>
        <w:rPr>
          <w:b w:val="0"/>
        </w:rPr>
        <w:t xml:space="preserve"> </w:t>
      </w:r>
      <w:r w:rsidR="00905406" w:rsidRPr="007877C4">
        <w:rPr>
          <w:b w:val="0"/>
        </w:rPr>
        <w:t xml:space="preserve">CHIP is the </w:t>
      </w:r>
      <w:r w:rsidR="001D71A0">
        <w:rPr>
          <w:b w:val="0"/>
        </w:rPr>
        <w:t xml:space="preserve">State </w:t>
      </w:r>
      <w:r w:rsidR="00905406" w:rsidRPr="007877C4">
        <w:rPr>
          <w:b w:val="0"/>
        </w:rPr>
        <w:t xml:space="preserve">Children’s Health Insurance Program. </w:t>
      </w:r>
      <w:r w:rsidR="009C2EFF">
        <w:rPr>
          <w:b w:val="0"/>
        </w:rPr>
        <w:t xml:space="preserve">FFM is federally-facilitated marketplace. SBM is state-based marketplace. </w:t>
      </w:r>
      <w:r w:rsidR="00AC2517">
        <w:rPr>
          <w:b w:val="0"/>
        </w:rPr>
        <w:t>Data for HealthCare.gov on transitions</w:t>
      </w:r>
      <w:r w:rsidR="001469C8">
        <w:rPr>
          <w:b w:val="0"/>
        </w:rPr>
        <w:t xml:space="preserve"> to the FFM from Medicaid</w:t>
      </w:r>
      <w:r w:rsidR="00AC2517">
        <w:rPr>
          <w:b w:val="0"/>
        </w:rPr>
        <w:t xml:space="preserve"> are </w:t>
      </w:r>
      <w:r w:rsidR="00357336">
        <w:rPr>
          <w:b w:val="0"/>
        </w:rPr>
        <w:t xml:space="preserve">released later than other state reported data on </w:t>
      </w:r>
      <w:r w:rsidR="00357336" w:rsidRPr="002E6055">
        <w:rPr>
          <w:b w:val="0"/>
        </w:rPr>
        <w:t>renewals and state</w:t>
      </w:r>
      <w:r w:rsidR="00357336">
        <w:rPr>
          <w:b w:val="0"/>
        </w:rPr>
        <w:t xml:space="preserve">-based marketplace data, so data are </w:t>
      </w:r>
      <w:r w:rsidR="001469C8">
        <w:rPr>
          <w:b w:val="0"/>
        </w:rPr>
        <w:t xml:space="preserve">only </w:t>
      </w:r>
      <w:r w:rsidR="00AC2517">
        <w:rPr>
          <w:b w:val="0"/>
        </w:rPr>
        <w:t xml:space="preserve">available </w:t>
      </w:r>
      <w:r w:rsidR="00AC2517" w:rsidRPr="00357336">
        <w:rPr>
          <w:b w:val="0"/>
        </w:rPr>
        <w:t xml:space="preserve">through </w:t>
      </w:r>
      <w:r w:rsidR="00880858" w:rsidRPr="00357336">
        <w:rPr>
          <w:b w:val="0"/>
        </w:rPr>
        <w:t>April</w:t>
      </w:r>
      <w:r w:rsidR="00AC2517" w:rsidRPr="00357336">
        <w:rPr>
          <w:b w:val="0"/>
        </w:rPr>
        <w:t xml:space="preserve"> 2024</w:t>
      </w:r>
      <w:r w:rsidR="00357336" w:rsidRPr="00357336">
        <w:rPr>
          <w:b w:val="0"/>
        </w:rPr>
        <w:t xml:space="preserve"> (CMS 2023</w:t>
      </w:r>
      <w:r w:rsidR="00FA5939">
        <w:rPr>
          <w:b w:val="0"/>
        </w:rPr>
        <w:t>h</w:t>
      </w:r>
      <w:r w:rsidR="00357336" w:rsidRPr="00357336">
        <w:rPr>
          <w:b w:val="0"/>
        </w:rPr>
        <w:t>).</w:t>
      </w:r>
    </w:p>
    <w:p w14:paraId="23AB64CF" w14:textId="7F5277D0" w:rsidR="00B934D9" w:rsidRDefault="00B934D9" w:rsidP="00B934D9">
      <w:pPr>
        <w:pStyle w:val="TableNotesTitle"/>
        <w:rPr>
          <w:b w:val="0"/>
        </w:rPr>
      </w:pPr>
      <w:r>
        <w:t>Source</w:t>
      </w:r>
      <w:r w:rsidR="00104E8A">
        <w:t>s</w:t>
      </w:r>
      <w:r>
        <w:t xml:space="preserve">: </w:t>
      </w:r>
      <w:r>
        <w:rPr>
          <w:b w:val="0"/>
        </w:rPr>
        <w:t>CMS 2024</w:t>
      </w:r>
      <w:r w:rsidR="00FA5939">
        <w:rPr>
          <w:b w:val="0"/>
        </w:rPr>
        <w:t>i</w:t>
      </w:r>
      <w:r>
        <w:t xml:space="preserve">; </w:t>
      </w:r>
      <w:r>
        <w:rPr>
          <w:b w:val="0"/>
        </w:rPr>
        <w:t>MAPAC 2024c</w:t>
      </w:r>
      <w:r>
        <w:t xml:space="preserve">, </w:t>
      </w:r>
      <w:r>
        <w:rPr>
          <w:b w:val="0"/>
        </w:rPr>
        <w:t>2024d.</w:t>
      </w:r>
    </w:p>
    <w:p w14:paraId="014712D3" w14:textId="77777777" w:rsidR="00B53665" w:rsidRDefault="00B53665" w:rsidP="00B53665"/>
    <w:p w14:paraId="7B805F1B" w14:textId="77777777" w:rsidR="00B53665" w:rsidRPr="00F31ADD" w:rsidRDefault="00B53665" w:rsidP="00B53665">
      <w:pPr>
        <w:pStyle w:val="Heading1"/>
      </w:pPr>
      <w:r w:rsidRPr="00314004">
        <w:rPr>
          <w:rStyle w:val="Heading3Char"/>
          <w:rFonts w:cs="Times New Roman"/>
          <w:b/>
          <w:bCs/>
          <w:iCs w:val="0"/>
          <w:color w:val="008170"/>
        </w:rPr>
        <w:t>Operations Data</w:t>
      </w:r>
    </w:p>
    <w:p w14:paraId="06CD7B62" w14:textId="7A9F3FD0" w:rsidR="00B53665" w:rsidRDefault="00B53665" w:rsidP="00B53665">
      <w:r>
        <w:t xml:space="preserve">To monitor state progress, CMS releases data on applications and processing time, as well as average call center wait time and abandonment rates (CMS </w:t>
      </w:r>
      <w:r w:rsidRPr="00C53B83">
        <w:t>202</w:t>
      </w:r>
      <w:r>
        <w:t>4</w:t>
      </w:r>
      <w:r w:rsidR="00FA5939">
        <w:t>j</w:t>
      </w:r>
      <w:r>
        <w:t xml:space="preserve">). Along with enrollment numbers described above, </w:t>
      </w:r>
      <w:r w:rsidR="005B5ABB">
        <w:t xml:space="preserve">number of </w:t>
      </w:r>
      <w:r>
        <w:t>applications</w:t>
      </w:r>
      <w:r w:rsidR="00C20C66">
        <w:t>, application processing time, and call center data</w:t>
      </w:r>
      <w:r>
        <w:t xml:space="preserve"> have long been</w:t>
      </w:r>
      <w:r w:rsidR="00787183">
        <w:t xml:space="preserve"> collect</w:t>
      </w:r>
      <w:r w:rsidR="008263F0">
        <w:t>ed but were previously not reported</w:t>
      </w:r>
      <w:r>
        <w:t xml:space="preserve">. </w:t>
      </w:r>
      <w:r w:rsidR="002050C4">
        <w:t>These data will continue to be collected and reported after the unwinding period that ended in June 2024 (CMS 2024c).</w:t>
      </w:r>
    </w:p>
    <w:p w14:paraId="267DB340" w14:textId="5F23E526" w:rsidR="00C20C66" w:rsidRPr="00555F13" w:rsidRDefault="00A764C3" w:rsidP="00B53665">
      <w:r>
        <w:t>States have collected and reported c</w:t>
      </w:r>
      <w:r w:rsidR="00C20C66">
        <w:t>all center data</w:t>
      </w:r>
      <w:r w:rsidR="005B5ABB">
        <w:t xml:space="preserve"> to CMS</w:t>
      </w:r>
      <w:r w:rsidR="00C20C66">
        <w:t xml:space="preserve"> since </w:t>
      </w:r>
      <w:r w:rsidR="00C20C66" w:rsidRPr="000253AC">
        <w:t>2014</w:t>
      </w:r>
      <w:r w:rsidR="00485A1D">
        <w:t>,</w:t>
      </w:r>
      <w:r w:rsidR="00C20C66" w:rsidRPr="000253AC">
        <w:t xml:space="preserve"> but due to concerns about the quality</w:t>
      </w:r>
      <w:r w:rsidR="006617DC">
        <w:t xml:space="preserve"> and comparability</w:t>
      </w:r>
      <w:r w:rsidR="00C20C66" w:rsidRPr="000253AC">
        <w:t xml:space="preserve"> of these data</w:t>
      </w:r>
      <w:r>
        <w:t xml:space="preserve">, </w:t>
      </w:r>
      <w:r w:rsidR="005B5ABB">
        <w:t xml:space="preserve">CMS did </w:t>
      </w:r>
      <w:r w:rsidR="00C20C66">
        <w:t xml:space="preserve">not </w:t>
      </w:r>
      <w:r w:rsidR="00C20C66" w:rsidRPr="000253AC">
        <w:t xml:space="preserve">report </w:t>
      </w:r>
      <w:r w:rsidR="005B5ABB">
        <w:t>the</w:t>
      </w:r>
      <w:r w:rsidR="00424EDA">
        <w:t>m</w:t>
      </w:r>
      <w:r w:rsidR="005B5ABB">
        <w:t xml:space="preserve"> </w:t>
      </w:r>
      <w:r w:rsidR="00C20C66" w:rsidRPr="000253AC">
        <w:t xml:space="preserve">publicly </w:t>
      </w:r>
      <w:r w:rsidR="00C20C66">
        <w:t>until</w:t>
      </w:r>
      <w:r w:rsidR="00C20C66" w:rsidRPr="000253AC">
        <w:t xml:space="preserve"> July 2023</w:t>
      </w:r>
      <w:r w:rsidR="00C20C66">
        <w:t xml:space="preserve">. </w:t>
      </w:r>
      <w:r w:rsidR="00C20C66" w:rsidRPr="00821DEA">
        <w:t>In assessing call center performance, it is important to note that there is variation in how states operate their call centers</w:t>
      </w:r>
      <w:r w:rsidR="006617DC">
        <w:t xml:space="preserve"> and report their data</w:t>
      </w:r>
      <w:r w:rsidR="006E0A0F">
        <w:t>.</w:t>
      </w:r>
      <w:r w:rsidR="006617DC">
        <w:t xml:space="preserve"> </w:t>
      </w:r>
      <w:r w:rsidR="006E0A0F">
        <w:t>These differences can make</w:t>
      </w:r>
      <w:r w:rsidR="006617DC">
        <w:t xml:space="preserve"> the data less reliable</w:t>
      </w:r>
      <w:r w:rsidR="006E0A0F">
        <w:t xml:space="preserve"> for purposes of state</w:t>
      </w:r>
      <w:r w:rsidR="00AF27C7">
        <w:t>-</w:t>
      </w:r>
      <w:r w:rsidR="006E0A0F">
        <w:t>to</w:t>
      </w:r>
      <w:r w:rsidR="00AF27C7">
        <w:t>-</w:t>
      </w:r>
      <w:r w:rsidR="006E0A0F">
        <w:t>state comparisons</w:t>
      </w:r>
      <w:r w:rsidR="00C20C66">
        <w:t xml:space="preserve"> </w:t>
      </w:r>
      <w:r w:rsidR="00555F13">
        <w:t>and</w:t>
      </w:r>
      <w:r w:rsidR="00C20C66">
        <w:t xml:space="preserve"> assessing </w:t>
      </w:r>
      <w:r w:rsidR="006617DC">
        <w:t xml:space="preserve">national </w:t>
      </w:r>
      <w:r w:rsidR="00C20C66">
        <w:t xml:space="preserve">trends. </w:t>
      </w:r>
      <w:r w:rsidR="00555F13">
        <w:t>Therefore, year</w:t>
      </w:r>
      <w:r w:rsidR="00AF27C7">
        <w:t>-</w:t>
      </w:r>
      <w:r w:rsidR="00555F13">
        <w:t>to</w:t>
      </w:r>
      <w:r w:rsidR="00AF27C7">
        <w:t>-</w:t>
      </w:r>
      <w:r w:rsidR="00555F13">
        <w:t xml:space="preserve">year reporting within a state may be </w:t>
      </w:r>
      <w:r w:rsidR="00C20C66">
        <w:t>more useful</w:t>
      </w:r>
      <w:r w:rsidR="00555F13">
        <w:t xml:space="preserve"> for providing</w:t>
      </w:r>
      <w:r w:rsidR="00C20C66">
        <w:t xml:space="preserve"> insight into how these metrics changed across the unwinding period. </w:t>
      </w:r>
      <w:r w:rsidR="00C20C66" w:rsidRPr="00821DEA">
        <w:t xml:space="preserve">For example, some call centers also serve other programs </w:t>
      </w:r>
      <w:r w:rsidR="00C20C66" w:rsidRPr="001469C8">
        <w:t xml:space="preserve">like the </w:t>
      </w:r>
      <w:r w:rsidR="001469C8" w:rsidRPr="001469C8">
        <w:t>SBM</w:t>
      </w:r>
      <w:r w:rsidR="00C20C66" w:rsidRPr="001469C8">
        <w:t>, the Supplemental</w:t>
      </w:r>
      <w:r w:rsidR="00C20C66" w:rsidRPr="00821DEA">
        <w:t xml:space="preserve"> Nutrition Assistance Program (SNAP), or Temporary Assistance for Needy Families (TANF). Call center staff in these states answer questions from individuals enrolled in or applying for other programs, as well as responding to inquiries from Medicaid</w:t>
      </w:r>
      <w:r w:rsidR="00485A1D">
        <w:t xml:space="preserve"> and CHIP</w:t>
      </w:r>
      <w:r w:rsidR="00C20C66" w:rsidRPr="00821DEA">
        <w:t xml:space="preserve"> beneficiaries about renewals. In </w:t>
      </w:r>
      <w:r w:rsidR="00C20C66" w:rsidRPr="00821DEA">
        <w:lastRenderedPageBreak/>
        <w:t xml:space="preserve">addition, some call centers offer callback options and wait times for these call centers may include the time for an operator to make </w:t>
      </w:r>
      <w:r w:rsidR="00C20C66" w:rsidRPr="00AA7DF6">
        <w:t>the callback (CMS 2023</w:t>
      </w:r>
      <w:r w:rsidR="00A33AB9">
        <w:t>f</w:t>
      </w:r>
      <w:r w:rsidR="00C20C66" w:rsidRPr="00AA7DF6">
        <w:t>).</w:t>
      </w:r>
      <w:r w:rsidR="00C20C66" w:rsidRPr="00AA7DF6">
        <w:rPr>
          <w:rStyle w:val="EndnoteReference"/>
        </w:rPr>
        <w:endnoteReference w:id="8"/>
      </w:r>
      <w:r w:rsidR="00C20C66">
        <w:t xml:space="preserve"> </w:t>
      </w:r>
    </w:p>
    <w:p w14:paraId="140319B9" w14:textId="77777777" w:rsidR="00B53665" w:rsidRDefault="00B53665" w:rsidP="00B53665">
      <w:pPr>
        <w:pStyle w:val="Heading2"/>
      </w:pPr>
      <w:r w:rsidRPr="00AA7DF6">
        <w:t>Call Center Statistics</w:t>
      </w:r>
    </w:p>
    <w:p w14:paraId="6D1C53C6" w14:textId="77777777" w:rsidR="00824E13" w:rsidRDefault="007A6967" w:rsidP="00314004">
      <w:r>
        <w:t xml:space="preserve">Across the unwinding period, </w:t>
      </w:r>
      <w:r w:rsidR="00C20C66">
        <w:t>there were variations</w:t>
      </w:r>
      <w:r>
        <w:t xml:space="preserve"> in national and state-level trends in</w:t>
      </w:r>
      <w:r w:rsidR="00C20C66">
        <w:t xml:space="preserve"> average monthly </w:t>
      </w:r>
      <w:r w:rsidR="00B53665">
        <w:t>call center volume, wait times, and abandonment rates</w:t>
      </w:r>
      <w:r w:rsidR="00B53665" w:rsidRPr="00DF6A2E">
        <w:t xml:space="preserve">. </w:t>
      </w:r>
      <w:r w:rsidR="00AF27C7">
        <w:t>Nationally</w:t>
      </w:r>
      <w:r w:rsidR="00314004">
        <w:t xml:space="preserve">, total </w:t>
      </w:r>
      <w:r w:rsidR="00824E13">
        <w:t xml:space="preserve">monthly </w:t>
      </w:r>
      <w:r w:rsidR="00314004">
        <w:t>c</w:t>
      </w:r>
      <w:r w:rsidR="00314004" w:rsidRPr="00DF6A2E">
        <w:t>all center volume</w:t>
      </w:r>
      <w:r w:rsidR="00314004">
        <w:t xml:space="preserve"> </w:t>
      </w:r>
      <w:r w:rsidR="00314004" w:rsidRPr="00DF6A2E">
        <w:t xml:space="preserve">increased from April </w:t>
      </w:r>
      <w:r w:rsidR="00824E13">
        <w:t xml:space="preserve">2023 (7.1 million) </w:t>
      </w:r>
      <w:r w:rsidR="00314004" w:rsidRPr="00DF6A2E">
        <w:t>through August 2023</w:t>
      </w:r>
      <w:r w:rsidR="00CD440C">
        <w:t xml:space="preserve"> </w:t>
      </w:r>
      <w:r w:rsidR="00824E13">
        <w:t>(10.9 million) by about 3.7 million (over 150 percent increase),</w:t>
      </w:r>
      <w:r w:rsidR="00314004" w:rsidRPr="00DF6A2E">
        <w:t xml:space="preserve"> and then decreased and remained level until January 2024, when call center volume increased and peaked</w:t>
      </w:r>
      <w:r w:rsidR="00824E13">
        <w:t xml:space="preserve"> at almost 11 million calls. In June 2024, the total monthly call center volume had decreased to 8.1 million calls. </w:t>
      </w:r>
    </w:p>
    <w:p w14:paraId="5BD109FA" w14:textId="1F47CFE6" w:rsidR="00B53665" w:rsidRDefault="00314004" w:rsidP="00B53665">
      <w:r w:rsidRPr="00DF6A2E">
        <w:t>The</w:t>
      </w:r>
      <w:r w:rsidR="00824E13">
        <w:t xml:space="preserve"> national</w:t>
      </w:r>
      <w:r w:rsidRPr="00821DEA">
        <w:t xml:space="preserve"> </w:t>
      </w:r>
      <w:r>
        <w:t>t</w:t>
      </w:r>
      <w:r w:rsidRPr="00DF6A2E">
        <w:t xml:space="preserve">rends for average </w:t>
      </w:r>
      <w:r w:rsidR="00824E13">
        <w:t xml:space="preserve">monthly </w:t>
      </w:r>
      <w:r w:rsidRPr="00DF6A2E">
        <w:t xml:space="preserve">call center wait time and average </w:t>
      </w:r>
      <w:r w:rsidR="00824E13">
        <w:t xml:space="preserve">call </w:t>
      </w:r>
      <w:r w:rsidRPr="00DF6A2E">
        <w:t xml:space="preserve">abandonment rate </w:t>
      </w:r>
      <w:r w:rsidR="00824E13">
        <w:t xml:space="preserve">(calls abandoned as a percentage of total call center volume) </w:t>
      </w:r>
      <w:r w:rsidRPr="00DF6A2E">
        <w:t xml:space="preserve">mirrored each other during the unwinding period, </w:t>
      </w:r>
      <w:r>
        <w:t xml:space="preserve">increasing until peaking in January 2024. </w:t>
      </w:r>
      <w:r w:rsidR="000745F5">
        <w:t>B</w:t>
      </w:r>
      <w:r w:rsidR="000745F5" w:rsidRPr="00DF6A2E">
        <w:t>eginning in March 2024</w:t>
      </w:r>
      <w:r>
        <w:t xml:space="preserve">, both measures decreased and dipped </w:t>
      </w:r>
      <w:r w:rsidRPr="00DF6A2E">
        <w:t xml:space="preserve">below the April 2023 baseline rates (Figure </w:t>
      </w:r>
      <w:r>
        <w:t>4</w:t>
      </w:r>
      <w:r w:rsidRPr="00DF6A2E">
        <w:t>).</w:t>
      </w:r>
      <w:r w:rsidR="00824E13">
        <w:t xml:space="preserve"> However, n</w:t>
      </w:r>
      <w:r w:rsidR="00A764C3">
        <w:t xml:space="preserve">ational trends </w:t>
      </w:r>
      <w:r w:rsidR="00824E13">
        <w:t xml:space="preserve">in average call abandonment rates, overtime trends, peak wait times, and abandonment rates </w:t>
      </w:r>
      <w:r w:rsidR="00A764C3">
        <w:t xml:space="preserve">may obscure some of the some of the state-level </w:t>
      </w:r>
      <w:r>
        <w:t>variation. For example, although over half of the states reported decreases in average call abandonment rate and call center wait times over this period, many states reported increases in both measures (22 and 16 states, respectively), and a couple reported their highest averages in in June 2024.</w:t>
      </w:r>
      <w:r w:rsidR="00A764C3">
        <w:t xml:space="preserve"> State-level results on</w:t>
      </w:r>
      <w:r>
        <w:t xml:space="preserve"> peak average wait times and call abandonment rates</w:t>
      </w:r>
      <w:r w:rsidR="00A764C3">
        <w:t xml:space="preserve"> show that ov</w:t>
      </w:r>
      <w:r>
        <w:t>er half of states reported their peak values between April 2023 and November 2023</w:t>
      </w:r>
      <w:r w:rsidR="00A764C3">
        <w:t xml:space="preserve"> (compared to the January peak at the national</w:t>
      </w:r>
      <w:r w:rsidR="00485A1D">
        <w:t>-</w:t>
      </w:r>
      <w:r w:rsidR="00A764C3">
        <w:t>level).</w:t>
      </w:r>
      <w:r>
        <w:t xml:space="preserve"> </w:t>
      </w:r>
      <w:r w:rsidR="00B54D7F">
        <w:t>Additionally,</w:t>
      </w:r>
      <w:r>
        <w:t xml:space="preserve"> although the national average abandonment rate peaked at 17.7 percent, 20 states reported peak abandonment rates over 30 percent. </w:t>
      </w:r>
      <w:r w:rsidR="00131A1A">
        <w:t>T</w:t>
      </w:r>
      <w:r>
        <w:t xml:space="preserve">he average national-level call center wait time peaked at over 13 minutes, but </w:t>
      </w:r>
      <w:r w:rsidR="00B54D7F">
        <w:t>there is large variation between states. P</w:t>
      </w:r>
      <w:r>
        <w:t>eak wait times across states ranged from 1 minute to 72 minutes</w:t>
      </w:r>
      <w:r w:rsidR="00B54D7F">
        <w:t xml:space="preserve">, with </w:t>
      </w:r>
      <w:r>
        <w:t>14 states report</w:t>
      </w:r>
      <w:r w:rsidR="00B54D7F">
        <w:t>ing</w:t>
      </w:r>
      <w:r>
        <w:t xml:space="preserve"> average peak call center wait times over 30 minutes and 13 states report</w:t>
      </w:r>
      <w:r w:rsidR="00B54D7F">
        <w:t>ing</w:t>
      </w:r>
      <w:r>
        <w:t xml:space="preserve"> average wait times of 5 minutes or less</w:t>
      </w:r>
      <w:r w:rsidR="00357336">
        <w:t xml:space="preserve"> (CMS 2024</w:t>
      </w:r>
      <w:r w:rsidR="00FA5939">
        <w:t>j</w:t>
      </w:r>
      <w:r w:rsidR="00357336">
        <w:t>, MACPAC 2024b)</w:t>
      </w:r>
      <w:r>
        <w:t>.</w:t>
      </w:r>
    </w:p>
    <w:p w14:paraId="7D789BF3" w14:textId="78C26AB3" w:rsidR="00B53665" w:rsidRPr="00BF0B71" w:rsidRDefault="00B53665" w:rsidP="00B53665">
      <w:pPr>
        <w:pStyle w:val="Caption"/>
      </w:pPr>
      <w:r w:rsidRPr="009339A7">
        <w:rPr>
          <w:b/>
        </w:rPr>
        <w:t xml:space="preserve">FIGURE </w:t>
      </w:r>
      <w:r w:rsidR="00C20C66">
        <w:rPr>
          <w:b/>
        </w:rPr>
        <w:t>4</w:t>
      </w:r>
      <w:r w:rsidRPr="009339A7">
        <w:rPr>
          <w:b/>
        </w:rPr>
        <w:t>.</w:t>
      </w:r>
      <w:r w:rsidRPr="009339A7">
        <w:t xml:space="preserve"> </w:t>
      </w:r>
      <w:r w:rsidR="00905406">
        <w:t xml:space="preserve">Medicaid and CHIP </w:t>
      </w:r>
      <w:r w:rsidR="00357336">
        <w:t xml:space="preserve">National </w:t>
      </w:r>
      <w:r w:rsidR="00905406">
        <w:t xml:space="preserve">Average </w:t>
      </w:r>
      <w:r w:rsidRPr="009339A7">
        <w:t xml:space="preserve">Call Center Wait Times and Average </w:t>
      </w:r>
      <w:r w:rsidR="00824E13">
        <w:t xml:space="preserve">Call </w:t>
      </w:r>
      <w:r w:rsidRPr="009339A7">
        <w:t>Abandonment Rate, April 2023-</w:t>
      </w:r>
      <w:r w:rsidR="00DF6A2E">
        <w:t>June</w:t>
      </w:r>
      <w:r w:rsidRPr="009339A7">
        <w:t xml:space="preserve"> 2024</w:t>
      </w:r>
    </w:p>
    <w:p w14:paraId="1703BB35" w14:textId="585F7B86" w:rsidR="00B53665" w:rsidRDefault="00DF6A2E" w:rsidP="00B53665">
      <w:pPr>
        <w:pStyle w:val="Caption"/>
        <w:rPr>
          <w:b/>
        </w:rPr>
      </w:pPr>
      <w:r>
        <w:rPr>
          <w:noProof/>
        </w:rPr>
        <w:drawing>
          <wp:inline distT="0" distB="0" distL="0" distR="0" wp14:anchorId="6212B57E" wp14:editId="214FE58D">
            <wp:extent cx="6124575" cy="2543175"/>
            <wp:effectExtent l="0" t="0" r="9525" b="9525"/>
            <wp:docPr id="1" name="Chart 1">
              <a:extLst xmlns:a="http://schemas.openxmlformats.org/drawingml/2006/main">
                <a:ext uri="{FF2B5EF4-FFF2-40B4-BE49-F238E27FC236}">
                  <a16:creationId xmlns:a16="http://schemas.microsoft.com/office/drawing/2014/main" id="{2E5510C2-E67D-46F8-AAE7-9C82F5839B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200617E" w14:textId="3DDD35FA" w:rsidR="00824E13" w:rsidRPr="00824E13" w:rsidRDefault="00824E13" w:rsidP="00B53665">
      <w:pPr>
        <w:pStyle w:val="TableNotesTitle"/>
        <w:rPr>
          <w:b w:val="0"/>
        </w:rPr>
      </w:pPr>
      <w:r>
        <w:t>Notes:</w:t>
      </w:r>
      <w:r>
        <w:rPr>
          <w:b w:val="0"/>
        </w:rPr>
        <w:t xml:space="preserve"> </w:t>
      </w:r>
      <w:r w:rsidR="00905406" w:rsidRPr="007877C4">
        <w:rPr>
          <w:b w:val="0"/>
        </w:rPr>
        <w:t xml:space="preserve">CHIP is the </w:t>
      </w:r>
      <w:r w:rsidR="001D71A0">
        <w:rPr>
          <w:b w:val="0"/>
        </w:rPr>
        <w:t xml:space="preserve">State </w:t>
      </w:r>
      <w:r w:rsidR="00905406" w:rsidRPr="007877C4">
        <w:rPr>
          <w:b w:val="0"/>
        </w:rPr>
        <w:t xml:space="preserve">Children’s Health Insurance Program. </w:t>
      </w:r>
      <w:r>
        <w:rPr>
          <w:b w:val="0"/>
        </w:rPr>
        <w:t>Average call abandonment rate is the number of monthly abandoned calls divided by the monthly call center volume.</w:t>
      </w:r>
    </w:p>
    <w:p w14:paraId="05319289" w14:textId="70DA3C91" w:rsidR="00B53665" w:rsidRDefault="00B53665" w:rsidP="00B53665">
      <w:pPr>
        <w:pStyle w:val="TableNotesTitle"/>
        <w:rPr>
          <w:b w:val="0"/>
        </w:rPr>
      </w:pPr>
      <w:r>
        <w:t>Source</w:t>
      </w:r>
      <w:r w:rsidR="00104E8A">
        <w:t>s</w:t>
      </w:r>
      <w:r>
        <w:t xml:space="preserve">: </w:t>
      </w:r>
      <w:r>
        <w:rPr>
          <w:b w:val="0"/>
        </w:rPr>
        <w:t>CMS 2024</w:t>
      </w:r>
      <w:r w:rsidR="00FA5939">
        <w:rPr>
          <w:b w:val="0"/>
        </w:rPr>
        <w:t>j</w:t>
      </w:r>
      <w:r>
        <w:rPr>
          <w:b w:val="0"/>
        </w:rPr>
        <w:t>, MACPAC 2024b.</w:t>
      </w:r>
    </w:p>
    <w:p w14:paraId="59CF40AC" w14:textId="77777777" w:rsidR="00B53665" w:rsidRPr="00F6288D" w:rsidRDefault="00B53665" w:rsidP="00B53665">
      <w:pPr>
        <w:pStyle w:val="TableNotesTitle"/>
      </w:pPr>
    </w:p>
    <w:p w14:paraId="7DEB3301" w14:textId="77777777" w:rsidR="00B53665" w:rsidRDefault="00B53665" w:rsidP="00B53665">
      <w:pPr>
        <w:pStyle w:val="Heading2"/>
      </w:pPr>
      <w:r w:rsidRPr="00AA7DF6">
        <w:lastRenderedPageBreak/>
        <w:t>Applications</w:t>
      </w:r>
      <w:r>
        <w:t xml:space="preserve"> </w:t>
      </w:r>
    </w:p>
    <w:p w14:paraId="60641697" w14:textId="7F1AD1C5" w:rsidR="00EB30A8" w:rsidRDefault="00FA5939" w:rsidP="00B53665">
      <w:r>
        <w:t>During the unwinding period, states reported the number of applications (including MAGI and non-MAGI) prior to unwinding that were processed and the</w:t>
      </w:r>
      <w:r w:rsidR="00B47B18">
        <w:t>ir</w:t>
      </w:r>
      <w:r>
        <w:t xml:space="preserve"> processing time. CMS published application processing time reports for MAGI applications (CMS 2024k). </w:t>
      </w:r>
      <w:r w:rsidR="002050C4">
        <w:t xml:space="preserve">After states complete processing all of these applications, they will not be required to report these after the end of the unwinding period (CMS 2024c). </w:t>
      </w:r>
    </w:p>
    <w:p w14:paraId="4310B176" w14:textId="3E0ACE36" w:rsidR="00B53665" w:rsidRPr="00FA5939" w:rsidRDefault="00A1466D" w:rsidP="00B53665">
      <w:r>
        <w:t>Across this period,</w:t>
      </w:r>
      <w:r w:rsidR="00EB30A8">
        <w:t xml:space="preserve"> the</w:t>
      </w:r>
      <w:r w:rsidR="00B53665">
        <w:t xml:space="preserve"> </w:t>
      </w:r>
      <w:r w:rsidR="00B53665" w:rsidRPr="0020641A">
        <w:t xml:space="preserve">number of </w:t>
      </w:r>
      <w:r w:rsidR="00905406">
        <w:t xml:space="preserve">MAGI </w:t>
      </w:r>
      <w:r w:rsidR="00B53665" w:rsidRPr="0020641A">
        <w:t xml:space="preserve">applications submitted to Medicaid and CHIP agencies </w:t>
      </w:r>
      <w:r w:rsidR="00EB30A8" w:rsidRPr="0020641A">
        <w:t xml:space="preserve">and the application processing time </w:t>
      </w:r>
      <w:r w:rsidR="00B53665" w:rsidRPr="0020641A">
        <w:t xml:space="preserve">increased. Compared to </w:t>
      </w:r>
      <w:r w:rsidR="006D658C">
        <w:t xml:space="preserve">the first </w:t>
      </w:r>
      <w:r w:rsidR="00B53665" w:rsidRPr="0020641A">
        <w:t>quarter</w:t>
      </w:r>
      <w:r w:rsidR="0020641A" w:rsidRPr="0020641A">
        <w:t xml:space="preserve"> </w:t>
      </w:r>
      <w:r w:rsidR="00B53665" w:rsidRPr="0020641A">
        <w:t>of 2023</w:t>
      </w:r>
      <w:r w:rsidR="0020641A" w:rsidRPr="0020641A">
        <w:t xml:space="preserve">, which was </w:t>
      </w:r>
      <w:r w:rsidR="00131A1A">
        <w:t>before</w:t>
      </w:r>
      <w:r w:rsidR="0020641A" w:rsidRPr="0020641A">
        <w:t xml:space="preserve"> the beginning of the unwinding period</w:t>
      </w:r>
      <w:r w:rsidR="00B53665" w:rsidRPr="0020641A">
        <w:t xml:space="preserve">, the total number of applications in </w:t>
      </w:r>
      <w:r w:rsidR="006D658C">
        <w:t xml:space="preserve">second </w:t>
      </w:r>
      <w:r w:rsidR="00B53665" w:rsidRPr="0020641A">
        <w:t>quarter of 2024 was over 1</w:t>
      </w:r>
      <w:r w:rsidR="0020641A" w:rsidRPr="0020641A">
        <w:t>30</w:t>
      </w:r>
      <w:r w:rsidR="0020641A">
        <w:t xml:space="preserve"> percent</w:t>
      </w:r>
      <w:r w:rsidR="00B53665" w:rsidRPr="0020641A">
        <w:t xml:space="preserve"> greater (</w:t>
      </w:r>
      <w:r w:rsidR="0020641A" w:rsidRPr="0020641A">
        <w:t>6.4</w:t>
      </w:r>
      <w:r w:rsidR="00B53665" w:rsidRPr="0020641A">
        <w:t xml:space="preserve"> million compared to 4.7 million) (CMS 2024</w:t>
      </w:r>
      <w:r w:rsidR="00FA5939">
        <w:t>l</w:t>
      </w:r>
      <w:r w:rsidR="0020641A" w:rsidRPr="0020641A">
        <w:t>, 2024</w:t>
      </w:r>
      <w:r w:rsidR="00FA5939">
        <w:t>m</w:t>
      </w:r>
      <w:r w:rsidR="00B53665" w:rsidRPr="0020641A">
        <w:t>).</w:t>
      </w:r>
      <w:r w:rsidR="00B53665" w:rsidRPr="00821DEA">
        <w:t xml:space="preserve"> </w:t>
      </w:r>
      <w:r w:rsidR="0020641A">
        <w:t>The percent</w:t>
      </w:r>
      <w:r w:rsidR="00131A1A">
        <w:t>age of</w:t>
      </w:r>
      <w:r w:rsidR="0020641A">
        <w:t xml:space="preserve"> determinations processed in less than 24 hours decreased over the 14</w:t>
      </w:r>
      <w:r w:rsidR="00B43F97">
        <w:t>-</w:t>
      </w:r>
      <w:r w:rsidR="0020641A">
        <w:t xml:space="preserve">month unwinding period, and dipped to a low of 39 percent in February 2024. </w:t>
      </w:r>
      <w:r w:rsidR="008C256F">
        <w:t xml:space="preserve">Similarly, </w:t>
      </w:r>
      <w:r w:rsidR="00131A1A">
        <w:t xml:space="preserve">eligibility </w:t>
      </w:r>
      <w:r w:rsidR="008C256F">
        <w:t xml:space="preserve">determinations processed in greater than 45 days peaked in February 2024 </w:t>
      </w:r>
      <w:r w:rsidR="008C256F" w:rsidRPr="008C256F">
        <w:t xml:space="preserve">at 15 percent </w:t>
      </w:r>
      <w:r w:rsidR="00B53665" w:rsidRPr="008C256F">
        <w:t xml:space="preserve">(Figure </w:t>
      </w:r>
      <w:r w:rsidR="008F24AD">
        <w:t>5</w:t>
      </w:r>
      <w:r w:rsidR="00B53665" w:rsidRPr="008C256F">
        <w:t>).</w:t>
      </w:r>
      <w:r w:rsidR="00B53665" w:rsidRPr="008C256F">
        <w:rPr>
          <w:rStyle w:val="EndnoteReference"/>
        </w:rPr>
        <w:endnoteReference w:id="9"/>
      </w:r>
    </w:p>
    <w:p w14:paraId="7274DEB2" w14:textId="75B5B38A" w:rsidR="00B53665" w:rsidRPr="00AA7DF6" w:rsidRDefault="00B53665" w:rsidP="00B53665">
      <w:pPr>
        <w:pStyle w:val="Caption"/>
        <w:rPr>
          <w:b/>
        </w:rPr>
      </w:pPr>
      <w:r w:rsidRPr="00FD2916">
        <w:rPr>
          <w:b/>
        </w:rPr>
        <w:t xml:space="preserve">FIGURE </w:t>
      </w:r>
      <w:r w:rsidR="008F24AD">
        <w:rPr>
          <w:b/>
        </w:rPr>
        <w:t>5</w:t>
      </w:r>
      <w:r w:rsidRPr="00FD2916">
        <w:rPr>
          <w:b/>
        </w:rPr>
        <w:t xml:space="preserve">. </w:t>
      </w:r>
      <w:r w:rsidRPr="00FD2916">
        <w:t>M</w:t>
      </w:r>
      <w:r w:rsidR="00F92EBD">
        <w:t xml:space="preserve">odified Adjusted Gross </w:t>
      </w:r>
      <w:r w:rsidR="00131A1A">
        <w:t>I</w:t>
      </w:r>
      <w:r w:rsidR="00F92EBD">
        <w:t>ncome</w:t>
      </w:r>
      <w:r w:rsidRPr="00FD2916">
        <w:t xml:space="preserve"> Application Processing Time, </w:t>
      </w:r>
      <w:r w:rsidR="00FD2916" w:rsidRPr="00FD2916">
        <w:t>April 2023-June 2024</w:t>
      </w:r>
    </w:p>
    <w:p w14:paraId="089042E9" w14:textId="2864E769" w:rsidR="00B53665" w:rsidRPr="00BF0B71" w:rsidRDefault="008F24AD" w:rsidP="00B53665">
      <w:r>
        <w:rPr>
          <w:noProof/>
        </w:rPr>
        <w:drawing>
          <wp:inline distT="0" distB="0" distL="0" distR="0" wp14:anchorId="420E7452" wp14:editId="399E765F">
            <wp:extent cx="6591300" cy="3909060"/>
            <wp:effectExtent l="0" t="0" r="0" b="15240"/>
            <wp:docPr id="4" name="Chart 4">
              <a:extLst xmlns:a="http://schemas.openxmlformats.org/drawingml/2006/main">
                <a:ext uri="{FF2B5EF4-FFF2-40B4-BE49-F238E27FC236}">
                  <a16:creationId xmlns:a16="http://schemas.microsoft.com/office/drawing/2014/main" id="{3F0A3A8A-FEE9-4D95-90E5-4F78BD2CFAD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B5BEC41" w14:textId="636E2AB7" w:rsidR="00AA02AB" w:rsidRPr="00AA02AB" w:rsidRDefault="00AA02AB" w:rsidP="00B53665">
      <w:pPr>
        <w:pStyle w:val="TableNotesTitle"/>
        <w:rPr>
          <w:b w:val="0"/>
        </w:rPr>
      </w:pPr>
      <w:r>
        <w:t xml:space="preserve">Notes: </w:t>
      </w:r>
      <w:r>
        <w:rPr>
          <w:b w:val="0"/>
        </w:rPr>
        <w:t xml:space="preserve">MAGI is </w:t>
      </w:r>
      <w:r w:rsidRPr="00AA02AB">
        <w:rPr>
          <w:b w:val="0"/>
        </w:rPr>
        <w:t>Modified Adjusted Gross Income.</w:t>
      </w:r>
      <w:r>
        <w:rPr>
          <w:b w:val="0"/>
        </w:rPr>
        <w:t xml:space="preserve"> MAGI application processing time across all states by month during the unwinding period from April 2023 to June 2024.</w:t>
      </w:r>
    </w:p>
    <w:p w14:paraId="21639C05" w14:textId="30135615" w:rsidR="00B53665" w:rsidRPr="00C525E1" w:rsidRDefault="00B53665" w:rsidP="00B53665">
      <w:pPr>
        <w:pStyle w:val="TableNotesTitle"/>
        <w:rPr>
          <w:b w:val="0"/>
        </w:rPr>
      </w:pPr>
      <w:r>
        <w:t>Source</w:t>
      </w:r>
      <w:r w:rsidR="00104E8A">
        <w:t>s</w:t>
      </w:r>
      <w:r>
        <w:t xml:space="preserve">: </w:t>
      </w:r>
      <w:r>
        <w:rPr>
          <w:b w:val="0"/>
        </w:rPr>
        <w:t>CMS 2024</w:t>
      </w:r>
      <w:r w:rsidR="00FA5939">
        <w:rPr>
          <w:b w:val="0"/>
        </w:rPr>
        <w:t>l</w:t>
      </w:r>
      <w:r w:rsidR="00AA02AB">
        <w:rPr>
          <w:b w:val="0"/>
        </w:rPr>
        <w:t>, 2024</w:t>
      </w:r>
      <w:r w:rsidR="00FA5939">
        <w:rPr>
          <w:b w:val="0"/>
        </w:rPr>
        <w:t>m,</w:t>
      </w:r>
      <w:r w:rsidR="00AA02AB">
        <w:rPr>
          <w:b w:val="0"/>
        </w:rPr>
        <w:t xml:space="preserve"> 2024</w:t>
      </w:r>
      <w:r w:rsidR="00FA5939">
        <w:rPr>
          <w:b w:val="0"/>
        </w:rPr>
        <w:t>n</w:t>
      </w:r>
      <w:r w:rsidR="00AA02AB">
        <w:rPr>
          <w:b w:val="0"/>
        </w:rPr>
        <w:t>, 2024</w:t>
      </w:r>
      <w:r w:rsidR="00FA5939">
        <w:rPr>
          <w:b w:val="0"/>
        </w:rPr>
        <w:t>o</w:t>
      </w:r>
      <w:r w:rsidR="006A45CC">
        <w:rPr>
          <w:b w:val="0"/>
        </w:rPr>
        <w:t>.</w:t>
      </w:r>
    </w:p>
    <w:p w14:paraId="05652836" w14:textId="77777777" w:rsidR="00B53665" w:rsidRDefault="00B53665" w:rsidP="00B53665">
      <w:pPr>
        <w:pStyle w:val="Heading1"/>
      </w:pPr>
      <w:r>
        <w:lastRenderedPageBreak/>
        <w:t>Methodology</w:t>
      </w:r>
    </w:p>
    <w:p w14:paraId="14C46288" w14:textId="7171E483" w:rsidR="00B53665" w:rsidRPr="006B5666" w:rsidRDefault="00B53665" w:rsidP="006B5666">
      <w:pPr>
        <w:rPr>
          <w:color w:val="auto"/>
        </w:rPr>
      </w:pPr>
      <w:r w:rsidRPr="006B5666">
        <w:rPr>
          <w:color w:val="auto"/>
        </w:rPr>
        <w:t>We used state Medicaid and CHIP CAA reporting metrics data</w:t>
      </w:r>
      <w:r w:rsidR="00131A1A">
        <w:rPr>
          <w:color w:val="auto"/>
        </w:rPr>
        <w:t>, which CMS publis</w:t>
      </w:r>
      <w:r w:rsidR="00E623F1">
        <w:rPr>
          <w:color w:val="auto"/>
        </w:rPr>
        <w:t>hes</w:t>
      </w:r>
      <w:r w:rsidRPr="006B5666">
        <w:rPr>
          <w:color w:val="auto"/>
        </w:rPr>
        <w:t xml:space="preserve"> </w:t>
      </w:r>
      <w:r w:rsidR="00131A1A" w:rsidRPr="006B5666">
        <w:rPr>
          <w:color w:val="auto"/>
        </w:rPr>
        <w:t>quarterly</w:t>
      </w:r>
      <w:r w:rsidR="00E623F1">
        <w:rPr>
          <w:color w:val="auto"/>
        </w:rPr>
        <w:t>,</w:t>
      </w:r>
      <w:r w:rsidR="00131A1A" w:rsidRPr="006B5666">
        <w:rPr>
          <w:color w:val="auto"/>
        </w:rPr>
        <w:t xml:space="preserve"> </w:t>
      </w:r>
      <w:r w:rsidRPr="006B5666">
        <w:rPr>
          <w:color w:val="auto"/>
        </w:rPr>
        <w:t>to calculate summary information on monthly enrollment, renewals, disenrollment, applications, call center call volume</w:t>
      </w:r>
      <w:r w:rsidR="006D658C">
        <w:rPr>
          <w:color w:val="auto"/>
        </w:rPr>
        <w:t>,</w:t>
      </w:r>
      <w:r w:rsidRPr="006B5666">
        <w:rPr>
          <w:color w:val="auto"/>
        </w:rPr>
        <w:t xml:space="preserve"> and wait times (CMS 2024</w:t>
      </w:r>
      <w:r w:rsidR="00FA5939">
        <w:rPr>
          <w:color w:val="auto"/>
        </w:rPr>
        <w:t>g)</w:t>
      </w:r>
      <w:r w:rsidRPr="006B5666">
        <w:rPr>
          <w:color w:val="auto"/>
        </w:rPr>
        <w:t xml:space="preserve">. For analyses related to the transition of coverage to the </w:t>
      </w:r>
      <w:r w:rsidR="006D658C">
        <w:rPr>
          <w:color w:val="auto"/>
        </w:rPr>
        <w:t>FFM</w:t>
      </w:r>
      <w:r w:rsidRPr="006B5666">
        <w:rPr>
          <w:color w:val="auto"/>
        </w:rPr>
        <w:t xml:space="preserve"> and SBM</w:t>
      </w:r>
      <w:r w:rsidR="006D658C">
        <w:rPr>
          <w:color w:val="auto"/>
        </w:rPr>
        <w:t>s</w:t>
      </w:r>
      <w:r w:rsidRPr="006B5666">
        <w:rPr>
          <w:color w:val="auto"/>
        </w:rPr>
        <w:t>, we used the HealthCare.gov marketplace Medicaid unwinding report and the SBM Medicaid unwinding report (CMS 2024</w:t>
      </w:r>
      <w:r w:rsidR="00FA5939">
        <w:rPr>
          <w:color w:val="auto"/>
        </w:rPr>
        <w:t>h</w:t>
      </w:r>
      <w:r w:rsidRPr="006B5666">
        <w:rPr>
          <w:color w:val="auto"/>
        </w:rPr>
        <w:t>, 202</w:t>
      </w:r>
      <w:r w:rsidR="002E6055">
        <w:rPr>
          <w:color w:val="auto"/>
        </w:rPr>
        <w:t>4</w:t>
      </w:r>
      <w:r w:rsidR="00FA5939">
        <w:rPr>
          <w:color w:val="auto"/>
        </w:rPr>
        <w:t>i</w:t>
      </w:r>
      <w:r w:rsidRPr="006B5666">
        <w:rPr>
          <w:color w:val="auto"/>
        </w:rPr>
        <w:t>).</w:t>
      </w:r>
    </w:p>
    <w:p w14:paraId="57A5E56A" w14:textId="350DD03E" w:rsidR="00FF4785" w:rsidRDefault="002D333D" w:rsidP="006B5666">
      <w:pPr>
        <w:rPr>
          <w:color w:val="auto"/>
        </w:rPr>
        <w:sectPr w:rsidR="00FF4785" w:rsidSect="007B535A">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2240" w:h="15840"/>
          <w:pgMar w:top="1440" w:right="1080" w:bottom="1980" w:left="1080" w:header="720" w:footer="432" w:gutter="0"/>
          <w:cols w:space="720"/>
          <w:titlePg/>
          <w:docGrid w:linePitch="286"/>
        </w:sectPr>
      </w:pPr>
      <w:r>
        <w:rPr>
          <w:color w:val="auto"/>
        </w:rPr>
        <w:t>Our metho</w:t>
      </w:r>
      <w:r w:rsidR="008F24AD">
        <w:rPr>
          <w:color w:val="auto"/>
        </w:rPr>
        <w:t xml:space="preserve">dology for </w:t>
      </w:r>
      <w:r w:rsidR="00942CEE" w:rsidRPr="006B5666">
        <w:rPr>
          <w:color w:val="auto"/>
        </w:rPr>
        <w:t>calculat</w:t>
      </w:r>
      <w:r w:rsidR="008F24AD">
        <w:rPr>
          <w:color w:val="auto"/>
        </w:rPr>
        <w:t>ing</w:t>
      </w:r>
      <w:r w:rsidR="00942CEE" w:rsidRPr="006B5666">
        <w:rPr>
          <w:color w:val="auto"/>
        </w:rPr>
        <w:t xml:space="preserve"> c</w:t>
      </w:r>
      <w:r w:rsidR="00B53665" w:rsidRPr="006B5666">
        <w:rPr>
          <w:color w:val="auto"/>
        </w:rPr>
        <w:t>hange in enrollment</w:t>
      </w:r>
      <w:r w:rsidR="008F24AD">
        <w:rPr>
          <w:color w:val="auto"/>
        </w:rPr>
        <w:t xml:space="preserve"> </w:t>
      </w:r>
      <w:r w:rsidR="006B5666" w:rsidRPr="006B5666">
        <w:rPr>
          <w:color w:val="auto"/>
        </w:rPr>
        <w:t xml:space="preserve">uses </w:t>
      </w:r>
      <w:r w:rsidR="00B53665" w:rsidRPr="006B5666">
        <w:rPr>
          <w:color w:val="auto"/>
        </w:rPr>
        <w:t>the month prior to a state beginning the unwinding as the baseline enrollment month</w:t>
      </w:r>
      <w:r w:rsidR="006B5666" w:rsidRPr="006B5666">
        <w:rPr>
          <w:color w:val="auto"/>
        </w:rPr>
        <w:t xml:space="preserve">. </w:t>
      </w:r>
      <w:r w:rsidR="008F24AD">
        <w:rPr>
          <w:color w:val="auto"/>
        </w:rPr>
        <w:t xml:space="preserve">This </w:t>
      </w:r>
      <w:r w:rsidR="006D658C">
        <w:rPr>
          <w:color w:val="auto"/>
        </w:rPr>
        <w:t xml:space="preserve">approach </w:t>
      </w:r>
      <w:r w:rsidR="008F24AD">
        <w:rPr>
          <w:color w:val="auto"/>
        </w:rPr>
        <w:t xml:space="preserve">is consistent with other unwinding analyses that have used these same data from CMS. </w:t>
      </w:r>
      <w:r w:rsidR="006B5666" w:rsidRPr="006B5666">
        <w:rPr>
          <w:color w:val="auto"/>
        </w:rPr>
        <w:t xml:space="preserve">We calculated the change </w:t>
      </w:r>
      <w:r w:rsidR="00E623F1">
        <w:rPr>
          <w:color w:val="auto"/>
        </w:rPr>
        <w:t xml:space="preserve">in </w:t>
      </w:r>
      <w:r w:rsidR="006B5666" w:rsidRPr="006B5666">
        <w:rPr>
          <w:color w:val="auto"/>
        </w:rPr>
        <w:t>enrollment using the most</w:t>
      </w:r>
      <w:r w:rsidR="00B53665" w:rsidRPr="006B5666">
        <w:rPr>
          <w:color w:val="auto"/>
        </w:rPr>
        <w:t xml:space="preserve"> current month (</w:t>
      </w:r>
      <w:r w:rsidR="00237287" w:rsidRPr="006B5666">
        <w:rPr>
          <w:color w:val="auto"/>
        </w:rPr>
        <w:t>June</w:t>
      </w:r>
      <w:r w:rsidR="00B53665" w:rsidRPr="006B5666">
        <w:rPr>
          <w:color w:val="auto"/>
        </w:rPr>
        <w:t xml:space="preserve"> 2024)</w:t>
      </w:r>
      <w:r w:rsidR="006B5666" w:rsidRPr="006B5666">
        <w:rPr>
          <w:color w:val="auto"/>
        </w:rPr>
        <w:t xml:space="preserve"> of enrollment data</w:t>
      </w:r>
      <w:r w:rsidR="00B53665" w:rsidRPr="006B5666">
        <w:rPr>
          <w:color w:val="auto"/>
        </w:rPr>
        <w:t xml:space="preserve"> and totaled enrollment across all </w:t>
      </w:r>
      <w:r w:rsidR="00E2354D">
        <w:rPr>
          <w:color w:val="auto"/>
        </w:rPr>
        <w:t>50</w:t>
      </w:r>
      <w:r w:rsidR="00BC6368">
        <w:rPr>
          <w:color w:val="auto"/>
        </w:rPr>
        <w:t xml:space="preserve"> </w:t>
      </w:r>
      <w:r w:rsidR="00B53665" w:rsidRPr="006B5666">
        <w:rPr>
          <w:color w:val="auto"/>
        </w:rPr>
        <w:t>states and the District of Columbia (CMS 2024</w:t>
      </w:r>
      <w:r w:rsidR="00FA5939">
        <w:rPr>
          <w:color w:val="auto"/>
        </w:rPr>
        <w:t>f</w:t>
      </w:r>
      <w:r w:rsidR="00B53665" w:rsidRPr="006B5666">
        <w:rPr>
          <w:color w:val="auto"/>
        </w:rPr>
        <w:t>, KFF 2024, MACPAC 2024a)</w:t>
      </w:r>
    </w:p>
    <w:p w14:paraId="166E6D5C" w14:textId="0F67469D" w:rsidR="00BE3F7A" w:rsidRDefault="00BE3F7A">
      <w:pPr>
        <w:spacing w:after="0"/>
        <w:rPr>
          <w:b/>
          <w:color w:val="65666C" w:themeColor="text2"/>
          <w:szCs w:val="21"/>
        </w:rPr>
        <w:sectPr w:rsidR="00BE3F7A" w:rsidSect="007B535A">
          <w:endnotePr>
            <w:numFmt w:val="decimal"/>
          </w:endnotePr>
          <w:type w:val="continuous"/>
          <w:pgSz w:w="12240" w:h="15840"/>
          <w:pgMar w:top="1440" w:right="1080" w:bottom="1980" w:left="1080" w:header="720" w:footer="432" w:gutter="0"/>
          <w:cols w:space="720"/>
          <w:titlePg/>
          <w:docGrid w:linePitch="286"/>
        </w:sectPr>
      </w:pPr>
    </w:p>
    <w:p w14:paraId="72AB7CA6" w14:textId="207FF64C" w:rsidR="00BE3F7A" w:rsidRDefault="00BE3F7A" w:rsidP="00BE3F7A">
      <w:pPr>
        <w:pStyle w:val="ReferencesTitle"/>
      </w:pPr>
      <w:r>
        <w:t>References</w:t>
      </w:r>
    </w:p>
    <w:p w14:paraId="37D9D488" w14:textId="77777777" w:rsidR="00BE3F7A" w:rsidRDefault="00BE3F7A" w:rsidP="00BE3F7A">
      <w:pPr>
        <w:pStyle w:val="EndnoteText"/>
      </w:pPr>
      <w:r>
        <w:t xml:space="preserve">Assistant Secretary for Planning and Evaluation (ASPE), U.S. Department of Health and Human Services. 2022. </w:t>
      </w:r>
      <w:r>
        <w:rPr>
          <w:i/>
        </w:rPr>
        <w:t xml:space="preserve">Unwinding the Medicaid continuous enrollment provision: Projected enrollment effects and policy approaches. </w:t>
      </w:r>
      <w:r>
        <w:t xml:space="preserve">Washington, DC: ASPE. </w:t>
      </w:r>
      <w:hyperlink r:id="rId19" w:history="1">
        <w:r>
          <w:rPr>
            <w:rStyle w:val="Hyperlink"/>
          </w:rPr>
          <w:t>https://aspe.hhs.gov/sites/default/files/documents/dc73e82abf7fc26b6a8e5cc52ae42d48/aspe-end-mcaid-continuous-coverage.pdf</w:t>
        </w:r>
      </w:hyperlink>
      <w:r>
        <w:t xml:space="preserve">. </w:t>
      </w:r>
    </w:p>
    <w:p w14:paraId="3ABB325C" w14:textId="0EAF0488" w:rsidR="00BE3F7A" w:rsidRDefault="00BE3F7A" w:rsidP="00BE3F7A">
      <w:pPr>
        <w:pStyle w:val="EndnoteText"/>
        <w:rPr>
          <w:rStyle w:val="Hyperlink"/>
        </w:rPr>
      </w:pPr>
      <w:r>
        <w:t xml:space="preserve">Brooks, T., J. Tolbert, A. Gardner, B. Corallo et al. 2024. A look at Medicaid and CHIP eligibility, enrollment, and renewal policies during the unwinding of continuous enrollment and beyond. Washington, DC: KFF. </w:t>
      </w:r>
      <w:hyperlink r:id="rId20" w:history="1">
        <w:r w:rsidRPr="00AB2EDA">
          <w:rPr>
            <w:rStyle w:val="Hyperlink"/>
          </w:rPr>
          <w:t>https://www.kff.org/medicaid/report/a-look-at-medicaid-and-chip-eligibility-enrollment-and-renewal-policies-during-the-unwinding-of-continuous-enrollment-and-beyond/</w:t>
        </w:r>
      </w:hyperlink>
      <w:r w:rsidR="00C33D1E">
        <w:t>.</w:t>
      </w:r>
    </w:p>
    <w:p w14:paraId="3A87BBCE" w14:textId="5A0D1B52" w:rsidR="00BE3F7A" w:rsidRDefault="00BE3F7A" w:rsidP="00BE3F7A">
      <w:pPr>
        <w:pStyle w:val="EndnoteReferencesText"/>
      </w:pPr>
      <w:r>
        <w:t xml:space="preserve">Brooks, T., A. Gardner, A. Osorio, et al. 2023. Medicaid and CHIP eligibility, enrollment, and renewal policies as states prepare for the unwinding of the pandemic-era continuous enrollment provision. Washington, DC: Kaiser Family Foundation. </w:t>
      </w:r>
      <w:hyperlink r:id="rId21" w:history="1">
        <w:r w:rsidR="00CC1FA3">
          <w:rPr>
            <w:rStyle w:val="Hyperlink"/>
            <w:szCs w:val="20"/>
          </w:rPr>
          <w:t>https://www.kff.org/medicaid/report/medicaid-and-chip-eligibility-enrollment-and-renewal-policies-as-states-prepare-for-the-unwinding-of-the-pandemic-era-continuous-enrollment-provision/</w:t>
        </w:r>
      </w:hyperlink>
      <w:bookmarkStart w:id="2" w:name="_Hlk183509366"/>
      <w:r>
        <w:t>.</w:t>
      </w:r>
      <w:bookmarkEnd w:id="2"/>
    </w:p>
    <w:p w14:paraId="043C9326" w14:textId="731B202E" w:rsidR="00BE3F7A" w:rsidRDefault="00BE3F7A" w:rsidP="00BE3F7A">
      <w:pPr>
        <w:pStyle w:val="EndnoteText"/>
      </w:pPr>
      <w:r>
        <w:t xml:space="preserve">Centers for Medicare &amp; Medicaid Services (CMS), U.S. Department of Health and Human Services. 2024a. </w:t>
      </w:r>
      <w:r>
        <w:rPr>
          <w:i/>
        </w:rPr>
        <w:t xml:space="preserve">Extension of temporary unwinding-related flexibilities. </w:t>
      </w:r>
      <w:r>
        <w:t xml:space="preserve">Baltimore, MD: CMS. </w:t>
      </w:r>
      <w:hyperlink r:id="rId22" w:history="1">
        <w:r w:rsidRPr="00C33D1E">
          <w:rPr>
            <w:rStyle w:val="Hyperlink"/>
          </w:rPr>
          <w:t>https://www.medicaid.gov/federal-policy-guidance/downloads/cib050924-e14.pdf</w:t>
        </w:r>
      </w:hyperlink>
      <w:r w:rsidR="00C33D1E">
        <w:t>.</w:t>
      </w:r>
      <w:r w:rsidRPr="00E24650">
        <w:t xml:space="preserve"> </w:t>
      </w:r>
    </w:p>
    <w:p w14:paraId="22E5CCF5" w14:textId="07DB99FC" w:rsidR="00BE3F7A" w:rsidRDefault="00BE3F7A" w:rsidP="00BE3F7A">
      <w:pPr>
        <w:pStyle w:val="EndnoteText"/>
        <w:rPr>
          <w:rStyle w:val="Hyperlink"/>
        </w:rPr>
      </w:pPr>
      <w:r>
        <w:t xml:space="preserve">Centers for Medicare &amp; Medicaid Services (CMS), U.S. Department of Health and Human Services. 2024b. COVID-19 PHE unwinding section 1902(e)(14)(A) waiver approvals. Baltimore, MD: CMS. </w:t>
      </w:r>
      <w:hyperlink r:id="rId23" w:anchor=":~:text=As%20of%20July%2012%2C%202024,Completion%20to%20Reduce%20Procedural%20Terminations" w:history="1">
        <w:r w:rsidRPr="00A663A5">
          <w:rPr>
            <w:rStyle w:val="Hyperlink"/>
          </w:rPr>
          <w:t>https://www.medicaid.gov/resources-for-states/coronavirus-disease-2019-covid-19/unwinding-and-returning-regular-operations-after-covid-19/covid-19-phe-unwinding-section-1902e14a-waiver-approvals/index.html#:~:text=As%20of%20July%2012%2C%202024,Completion%20to%20Reduce%20Procedural%20Terminations</w:t>
        </w:r>
      </w:hyperlink>
      <w:r w:rsidR="00C33D1E">
        <w:t>.</w:t>
      </w:r>
    </w:p>
    <w:p w14:paraId="64F496AA" w14:textId="77777777" w:rsidR="00BE3F7A" w:rsidRDefault="00BE3F7A" w:rsidP="00BE3F7A">
      <w:pPr>
        <w:pStyle w:val="EndnoteText"/>
      </w:pPr>
      <w:r>
        <w:t>Centers for Medicare &amp; Medicaid Services (CMS), U.S. Department of Health and Human Services. 2024c.</w:t>
      </w:r>
      <w:r>
        <w:rPr>
          <w:i/>
        </w:rPr>
        <w:t xml:space="preserve"> Continuation of certain Medicaid and CHIP eligibility processing data reporting. </w:t>
      </w:r>
      <w:r>
        <w:t xml:space="preserve">Baltimore, MD: CMS. </w:t>
      </w:r>
      <w:hyperlink r:id="rId24" w:history="1">
        <w:r>
          <w:rPr>
            <w:rStyle w:val="Hyperlink"/>
          </w:rPr>
          <w:t>https://www.medicaid.gov/federal-policy-guidance/downloads/sho24002.pdf</w:t>
        </w:r>
      </w:hyperlink>
      <w:r>
        <w:t>.</w:t>
      </w:r>
    </w:p>
    <w:p w14:paraId="1644D26D" w14:textId="1247E33F" w:rsidR="00BE3F7A" w:rsidRDefault="00BE3F7A" w:rsidP="00BE3F7A">
      <w:pPr>
        <w:pStyle w:val="EndnoteText"/>
      </w:pPr>
      <w:r>
        <w:t>Centers for Medicare &amp; Medicaid Services (CMS), U.S. Department of Health and Human Services. 2024d.</w:t>
      </w:r>
      <w:r w:rsidRPr="002E6055">
        <w:t xml:space="preserve"> </w:t>
      </w:r>
      <w:r>
        <w:t>Scheduled state timelines for completing unwinding-related renewals</w:t>
      </w:r>
      <w:r>
        <w:rPr>
          <w:i/>
        </w:rPr>
        <w:t xml:space="preserve">. </w:t>
      </w:r>
      <w:r>
        <w:t xml:space="preserve">Baltimore, MD: CMS. </w:t>
      </w:r>
      <w:hyperlink r:id="rId25" w:history="1">
        <w:r w:rsidRPr="00C33D1E">
          <w:rPr>
            <w:rStyle w:val="Hyperlink"/>
          </w:rPr>
          <w:t>https://www.medicaid.gov/resources-for-states/downloads/sst-cmpltng-unwndng-rnwls-prlmnry-anlys-05312024.pdf</w:t>
        </w:r>
      </w:hyperlink>
      <w:r w:rsidR="00C33D1E">
        <w:t>.</w:t>
      </w:r>
    </w:p>
    <w:p w14:paraId="69494AD4" w14:textId="27C73610" w:rsidR="00BE3F7A" w:rsidRPr="00287CB3" w:rsidRDefault="00BE3F7A" w:rsidP="00BE3F7A">
      <w:pPr>
        <w:pStyle w:val="EndnoteText"/>
      </w:pPr>
      <w:r w:rsidRPr="00287CB3">
        <w:t>Centers for Medicare &amp; Medicaid Services (CMS), U.S. Department of Health and Human Services. 2024</w:t>
      </w:r>
      <w:r>
        <w:t>e</w:t>
      </w:r>
      <w:r w:rsidRPr="00287CB3">
        <w:t xml:space="preserve">. </w:t>
      </w:r>
      <w:r>
        <w:t>Medicaid and CHIP unwinding: Data sources and metrics definitions overview</w:t>
      </w:r>
      <w:r w:rsidRPr="00287CB3">
        <w:t xml:space="preserve">. Baltimore, MD: CMS. </w:t>
      </w:r>
      <w:hyperlink r:id="rId26" w:history="1">
        <w:r w:rsidRPr="001D323C">
          <w:rPr>
            <w:rStyle w:val="Hyperlink"/>
          </w:rPr>
          <w:t>https://www.medicaid.gov/resources-for-states/downloads/data-sources-and-definitions.pdf</w:t>
        </w:r>
      </w:hyperlink>
      <w:r w:rsidRPr="001D323C">
        <w:t>.</w:t>
      </w:r>
    </w:p>
    <w:p w14:paraId="3BC89FCD" w14:textId="77777777" w:rsidR="00BE3F7A" w:rsidRDefault="00BE3F7A" w:rsidP="00BE3F7A">
      <w:pPr>
        <w:pStyle w:val="EndnoteText"/>
      </w:pPr>
      <w:r w:rsidRPr="00287CB3">
        <w:t>Centers for Medicare &amp; Medicaid Services (CMS), U.S. Department of Health and Human Services. 2024</w:t>
      </w:r>
      <w:r>
        <w:t>f</w:t>
      </w:r>
      <w:r w:rsidRPr="00287CB3">
        <w:t xml:space="preserve">. Medicaid and CHIP CAA reporting metrics. Baltimore, MD: CMS. </w:t>
      </w:r>
      <w:hyperlink r:id="rId27" w:history="1">
        <w:r w:rsidRPr="00287CB3">
          <w:rPr>
            <w:rStyle w:val="Hyperlink"/>
          </w:rPr>
          <w:t>https://data.medicaid.gov/dataset/ebcfc16f-8291-4c61-82a4-055846d72f3a</w:t>
        </w:r>
      </w:hyperlink>
      <w:r w:rsidRPr="00287CB3">
        <w:t xml:space="preserve">. </w:t>
      </w:r>
    </w:p>
    <w:p w14:paraId="1AA74DD2" w14:textId="4B512157" w:rsidR="00BE3F7A" w:rsidRDefault="00BE3F7A" w:rsidP="00BE3F7A">
      <w:pPr>
        <w:pStyle w:val="EndnoteText"/>
        <w:rPr>
          <w:rStyle w:val="Hyperlink"/>
        </w:rPr>
      </w:pPr>
      <w:r w:rsidRPr="00287CB3">
        <w:t>Centers for Medicare &amp; Medicaid Services (CMS), U.S. Department of Health and Human Services. 2024</w:t>
      </w:r>
      <w:r>
        <w:t>g</w:t>
      </w:r>
      <w:r w:rsidRPr="00287CB3">
        <w:t xml:space="preserve">. HealthCare.gov marketplace Medicaid unwinding report. Baltimore, MD: CMS. </w:t>
      </w:r>
      <w:hyperlink r:id="rId28" w:history="1">
        <w:r w:rsidRPr="00287CB3">
          <w:rPr>
            <w:rStyle w:val="Hyperlink"/>
          </w:rPr>
          <w:t>https://data.medicaid.gov/dataset/9a83ba5e-05f5-47f5-82de-f3a59233a912</w:t>
        </w:r>
      </w:hyperlink>
      <w:r w:rsidR="001D323C" w:rsidRPr="001D323C">
        <w:t>.</w:t>
      </w:r>
    </w:p>
    <w:p w14:paraId="1F613CAB" w14:textId="723607DC" w:rsidR="00BE3F7A" w:rsidRDefault="00BE3F7A" w:rsidP="00BE3F7A">
      <w:pPr>
        <w:pStyle w:val="EndnoteText"/>
        <w:rPr>
          <w:rStyle w:val="Hyperlink"/>
        </w:rPr>
      </w:pPr>
      <w:r w:rsidRPr="00287CB3">
        <w:lastRenderedPageBreak/>
        <w:t>Centers for Medicare &amp; Medicaid Services (CMS), U.S. Department of Health and Human Services. 2024</w:t>
      </w:r>
      <w:r>
        <w:t>h</w:t>
      </w:r>
      <w:r w:rsidRPr="00287CB3">
        <w:t xml:space="preserve">. </w:t>
      </w:r>
      <w:r>
        <w:t>Notice of technology and process upgrades for account transfer functionality for states served by marketplaces on the federal platform</w:t>
      </w:r>
      <w:r w:rsidRPr="00287CB3">
        <w:t xml:space="preserve">. Baltimore, MD: CMS. </w:t>
      </w:r>
      <w:hyperlink r:id="rId29" w:history="1">
        <w:r w:rsidRPr="00A50F93">
          <w:rPr>
            <w:rStyle w:val="Hyperlink"/>
          </w:rPr>
          <w:t>https://www.medicaid.gov/federal-policy-guidance/downloads/cib10102024.pdf</w:t>
        </w:r>
      </w:hyperlink>
      <w:r w:rsidR="001D323C" w:rsidRPr="001D323C">
        <w:t>.</w:t>
      </w:r>
    </w:p>
    <w:p w14:paraId="70613B9E" w14:textId="140EE39E" w:rsidR="00BE3F7A" w:rsidRDefault="00BE3F7A" w:rsidP="00BE3F7A">
      <w:pPr>
        <w:pStyle w:val="EndnoteText"/>
        <w:rPr>
          <w:rStyle w:val="Hyperlink"/>
        </w:rPr>
      </w:pPr>
      <w:r w:rsidRPr="00287CB3">
        <w:t>Centers for Medicare &amp; Medicaid Services (CMS), U.S. Department of Health and Human Services. 2024</w:t>
      </w:r>
      <w:r>
        <w:t>i</w:t>
      </w:r>
      <w:r w:rsidRPr="00287CB3">
        <w:t xml:space="preserve">. State-based </w:t>
      </w:r>
      <w:r>
        <w:t>m</w:t>
      </w:r>
      <w:r w:rsidRPr="00287CB3">
        <w:t xml:space="preserve">arketplace (SBM) Medicaid </w:t>
      </w:r>
      <w:r>
        <w:t>u</w:t>
      </w:r>
      <w:r w:rsidRPr="00287CB3">
        <w:t xml:space="preserve">nwinding </w:t>
      </w:r>
      <w:r>
        <w:t>r</w:t>
      </w:r>
      <w:r w:rsidRPr="00287CB3">
        <w:t>eport</w:t>
      </w:r>
      <w:r>
        <w:t xml:space="preserve">. </w:t>
      </w:r>
      <w:r w:rsidRPr="00287CB3">
        <w:t xml:space="preserve">Baltimore, MD: CMS. </w:t>
      </w:r>
      <w:hyperlink r:id="rId30" w:history="1">
        <w:r w:rsidRPr="00A663A5">
          <w:rPr>
            <w:rStyle w:val="Hyperlink"/>
          </w:rPr>
          <w:t>https://data.medicaid.gov/dataset/5670e72c-e44e-4282-ab67-4ebebaba3cbd</w:t>
        </w:r>
      </w:hyperlink>
      <w:r w:rsidR="001D323C" w:rsidRPr="001D323C">
        <w:t>.</w:t>
      </w:r>
    </w:p>
    <w:p w14:paraId="5D3911E2" w14:textId="779EE189" w:rsidR="00BE3F7A" w:rsidRDefault="00BE3F7A" w:rsidP="00BE3F7A">
      <w:pPr>
        <w:pStyle w:val="EndnoteText"/>
        <w:rPr>
          <w:rStyle w:val="Hyperlink"/>
        </w:rPr>
      </w:pPr>
      <w:r w:rsidRPr="006A45CC">
        <w:t>Centers for Medicare &amp; Medicaid Services (CMS), U.S. Department of Health and Human Services. 2024</w:t>
      </w:r>
      <w:r>
        <w:t>j</w:t>
      </w:r>
      <w:r w:rsidRPr="006A45CC">
        <w:t>.</w:t>
      </w:r>
      <w:r w:rsidRPr="006A45CC">
        <w:rPr>
          <w:i/>
        </w:rPr>
        <w:t xml:space="preserve"> State Medicaid and CHIP applications, eligibility determinations, and enrollment data. </w:t>
      </w:r>
      <w:r w:rsidRPr="006A45CC">
        <w:t xml:space="preserve">Baltimore, MD: CMS. </w:t>
      </w:r>
      <w:hyperlink r:id="rId31" w:history="1">
        <w:r w:rsidRPr="003D1FC9">
          <w:rPr>
            <w:rStyle w:val="Hyperlink"/>
          </w:rPr>
          <w:t>https://data.medicaid.gov/dataset/6165f45b-ca93-5bb5-9d06-db29c692a360</w:t>
        </w:r>
      </w:hyperlink>
      <w:r w:rsidR="001D323C" w:rsidRPr="001D323C">
        <w:t>.</w:t>
      </w:r>
    </w:p>
    <w:p w14:paraId="7170041C" w14:textId="764ED648" w:rsidR="00BE3F7A" w:rsidRDefault="00BE3F7A" w:rsidP="00BE3F7A">
      <w:pPr>
        <w:pStyle w:val="EndnoteText"/>
        <w:rPr>
          <w:rStyle w:val="Hyperlink"/>
        </w:rPr>
      </w:pPr>
      <w:r w:rsidRPr="00287CB3">
        <w:t>Centers for Medicare &amp; Medicaid Services (CMS), U.S. Department of Health and Human Services. 2024</w:t>
      </w:r>
      <w:r>
        <w:t>k</w:t>
      </w:r>
      <w:r w:rsidRPr="00287CB3">
        <w:t xml:space="preserve">. </w:t>
      </w:r>
      <w:r w:rsidRPr="00B00424">
        <w:t xml:space="preserve">Medicaid </w:t>
      </w:r>
      <w:r>
        <w:t>m</w:t>
      </w:r>
      <w:r w:rsidRPr="00B00424">
        <w:t xml:space="preserve">odified </w:t>
      </w:r>
      <w:r>
        <w:t>ad</w:t>
      </w:r>
      <w:r w:rsidRPr="00B00424">
        <w:t xml:space="preserve">justed </w:t>
      </w:r>
      <w:r>
        <w:t>g</w:t>
      </w:r>
      <w:r w:rsidRPr="00B00424">
        <w:t xml:space="preserve">ross </w:t>
      </w:r>
      <w:r>
        <w:t>i</w:t>
      </w:r>
      <w:r w:rsidRPr="00B00424">
        <w:t xml:space="preserve">ncome &amp; Children’s Health Insurance Program </w:t>
      </w:r>
      <w:r>
        <w:t>a</w:t>
      </w:r>
      <w:r w:rsidRPr="00B00424">
        <w:t xml:space="preserve">pplication </w:t>
      </w:r>
      <w:r>
        <w:t>p</w:t>
      </w:r>
      <w:r w:rsidRPr="00B00424">
        <w:t xml:space="preserve">rocessing </w:t>
      </w:r>
      <w:r>
        <w:t>t</w:t>
      </w:r>
      <w:r w:rsidRPr="00B00424">
        <w:t xml:space="preserve">ime </w:t>
      </w:r>
      <w:r>
        <w:t>r</w:t>
      </w:r>
      <w:r w:rsidRPr="00B00424">
        <w:t>eport</w:t>
      </w:r>
      <w:r>
        <w:t xml:space="preserve">. </w:t>
      </w:r>
      <w:r w:rsidRPr="00287CB3">
        <w:t xml:space="preserve">Baltimore, MD: CMS. </w:t>
      </w:r>
      <w:hyperlink r:id="rId32" w:history="1">
        <w:r w:rsidRPr="001D323C">
          <w:rPr>
            <w:rStyle w:val="Hyperlink"/>
          </w:rPr>
          <w:t>https://www.medicaid.gov/state-overviews/medicaid-modified-adjusted-gross-income-childrens-health-insurance-program-application-processing-time-report/index.html</w:t>
        </w:r>
      </w:hyperlink>
      <w:r w:rsidR="001D323C" w:rsidRPr="001D323C">
        <w:t>.</w:t>
      </w:r>
    </w:p>
    <w:p w14:paraId="715A8D6C" w14:textId="38D08EF0" w:rsidR="00BE3F7A" w:rsidRDefault="00BE3F7A" w:rsidP="00BE3F7A">
      <w:pPr>
        <w:pStyle w:val="EndnoteText"/>
        <w:rPr>
          <w:rStyle w:val="Hyperlink"/>
        </w:rPr>
      </w:pPr>
      <w:r w:rsidRPr="004310A6">
        <w:t>Centers for Medicare &amp; Medicaid Services (CMS), U.S. Department of Health and Human Services. 202</w:t>
      </w:r>
      <w:r>
        <w:t>4l</w:t>
      </w:r>
      <w:r w:rsidRPr="004310A6">
        <w:t>.</w:t>
      </w:r>
      <w:r w:rsidRPr="004310A6">
        <w:rPr>
          <w:i/>
        </w:rPr>
        <w:t xml:space="preserve"> MAGI application processing time snapshot report: </w:t>
      </w:r>
      <w:r>
        <w:rPr>
          <w:i/>
        </w:rPr>
        <w:t xml:space="preserve">April </w:t>
      </w:r>
      <w:r w:rsidRPr="004310A6">
        <w:rPr>
          <w:i/>
        </w:rPr>
        <w:t>202</w:t>
      </w:r>
      <w:r>
        <w:rPr>
          <w:i/>
        </w:rPr>
        <w:t>4</w:t>
      </w:r>
      <w:r w:rsidRPr="004310A6">
        <w:rPr>
          <w:i/>
        </w:rPr>
        <w:t xml:space="preserve"> </w:t>
      </w:r>
      <w:r>
        <w:rPr>
          <w:i/>
        </w:rPr>
        <w:t>–</w:t>
      </w:r>
      <w:r w:rsidRPr="004310A6">
        <w:rPr>
          <w:i/>
        </w:rPr>
        <w:t xml:space="preserve"> </w:t>
      </w:r>
      <w:r>
        <w:rPr>
          <w:i/>
        </w:rPr>
        <w:t xml:space="preserve">June </w:t>
      </w:r>
      <w:r w:rsidRPr="004310A6">
        <w:rPr>
          <w:i/>
        </w:rPr>
        <w:t>202</w:t>
      </w:r>
      <w:r>
        <w:rPr>
          <w:i/>
        </w:rPr>
        <w:t>4</w:t>
      </w:r>
      <w:r w:rsidRPr="004310A6">
        <w:rPr>
          <w:i/>
        </w:rPr>
        <w:t xml:space="preserve">. </w:t>
      </w:r>
      <w:r w:rsidRPr="004310A6">
        <w:t xml:space="preserve">Baltimore, MD: CMS. </w:t>
      </w:r>
      <w:hyperlink r:id="rId33" w:history="1">
        <w:r w:rsidRPr="00711EF6">
          <w:rPr>
            <w:rStyle w:val="Hyperlink"/>
          </w:rPr>
          <w:t>https://www.medicaid.gov/state-overviews/downloads/magi-app-process-time-snapshot-rpt-apr-jun-2024.pdf</w:t>
        </w:r>
      </w:hyperlink>
      <w:r w:rsidR="001D323C" w:rsidRPr="001D323C">
        <w:t>.</w:t>
      </w:r>
    </w:p>
    <w:p w14:paraId="39F04DC3" w14:textId="3DF890A9" w:rsidR="00BE3F7A" w:rsidRDefault="00BE3F7A" w:rsidP="00BE3F7A">
      <w:pPr>
        <w:pStyle w:val="EndnoteText"/>
        <w:rPr>
          <w:rStyle w:val="Hyperlink"/>
        </w:rPr>
      </w:pPr>
      <w:r w:rsidRPr="004310A6">
        <w:t>Centers for Medicare &amp; Medicaid Services (CMS), U.S. Department of Health and Human Services. 202</w:t>
      </w:r>
      <w:r>
        <w:t>4m</w:t>
      </w:r>
      <w:r w:rsidRPr="004310A6">
        <w:t>.</w:t>
      </w:r>
      <w:r w:rsidRPr="004310A6">
        <w:rPr>
          <w:i/>
        </w:rPr>
        <w:t xml:space="preserve"> MAGI application processing time snapshot report: </w:t>
      </w:r>
      <w:r>
        <w:rPr>
          <w:i/>
        </w:rPr>
        <w:t xml:space="preserve">January </w:t>
      </w:r>
      <w:r w:rsidRPr="004310A6">
        <w:rPr>
          <w:i/>
        </w:rPr>
        <w:t>202</w:t>
      </w:r>
      <w:r>
        <w:rPr>
          <w:i/>
        </w:rPr>
        <w:t>4</w:t>
      </w:r>
      <w:r w:rsidRPr="004310A6">
        <w:rPr>
          <w:i/>
        </w:rPr>
        <w:t xml:space="preserve"> </w:t>
      </w:r>
      <w:r>
        <w:rPr>
          <w:i/>
        </w:rPr>
        <w:t>–</w:t>
      </w:r>
      <w:r w:rsidRPr="004310A6">
        <w:rPr>
          <w:i/>
        </w:rPr>
        <w:t xml:space="preserve"> </w:t>
      </w:r>
      <w:r>
        <w:rPr>
          <w:i/>
        </w:rPr>
        <w:t xml:space="preserve">March </w:t>
      </w:r>
      <w:r w:rsidRPr="004310A6">
        <w:rPr>
          <w:i/>
        </w:rPr>
        <w:t>202</w:t>
      </w:r>
      <w:r>
        <w:rPr>
          <w:i/>
        </w:rPr>
        <w:t>4</w:t>
      </w:r>
      <w:r w:rsidRPr="004310A6">
        <w:rPr>
          <w:i/>
        </w:rPr>
        <w:t xml:space="preserve">. </w:t>
      </w:r>
      <w:r w:rsidRPr="004310A6">
        <w:t xml:space="preserve">Baltimore, MD: CMS. </w:t>
      </w:r>
      <w:hyperlink r:id="rId34" w:history="1">
        <w:r w:rsidRPr="00711EF6">
          <w:rPr>
            <w:rStyle w:val="Hyperlink"/>
          </w:rPr>
          <w:t>https://www.medicaid.gov/state-overviews/downloads/magi-app-process-time-snapshot-rpt-jan-mar-2024.pdf</w:t>
        </w:r>
      </w:hyperlink>
      <w:r w:rsidR="001D323C" w:rsidRPr="001D323C">
        <w:t>.</w:t>
      </w:r>
    </w:p>
    <w:p w14:paraId="52E41079" w14:textId="7B6D3877" w:rsidR="00BE3F7A" w:rsidRPr="00EB30A8" w:rsidRDefault="00BE3F7A" w:rsidP="00BE3F7A">
      <w:pPr>
        <w:pStyle w:val="EndnoteText"/>
        <w:rPr>
          <w:rStyle w:val="Hyperlink"/>
          <w:color w:val="65666C"/>
          <w:szCs w:val="20"/>
          <w:u w:val="none"/>
        </w:rPr>
      </w:pPr>
      <w:r w:rsidRPr="004310A6">
        <w:t>Centers for Medicare &amp; Medicaid Services (CMS), U.S. Department of Health and Human Services. 202</w:t>
      </w:r>
      <w:r>
        <w:t>4n</w:t>
      </w:r>
      <w:r w:rsidRPr="004310A6">
        <w:t>.</w:t>
      </w:r>
      <w:r w:rsidRPr="004310A6">
        <w:rPr>
          <w:i/>
        </w:rPr>
        <w:t xml:space="preserve"> MAGI application processing time snapshot report: </w:t>
      </w:r>
      <w:r>
        <w:rPr>
          <w:i/>
        </w:rPr>
        <w:t>October 2023 – December 2023</w:t>
      </w:r>
      <w:r w:rsidRPr="004310A6">
        <w:rPr>
          <w:i/>
        </w:rPr>
        <w:t xml:space="preserve">. </w:t>
      </w:r>
      <w:r w:rsidRPr="004310A6">
        <w:t xml:space="preserve">Baltimore, MD: CMS. </w:t>
      </w:r>
      <w:hyperlink r:id="rId35" w:history="1">
        <w:r w:rsidRPr="001D323C">
          <w:rPr>
            <w:rStyle w:val="Hyperlink"/>
          </w:rPr>
          <w:t>https://www.medicaid.gov/state-overviews/downloads/magi-app-process-time-snapshot-rpt-oct-dec-2023.pdf</w:t>
        </w:r>
      </w:hyperlink>
      <w:r w:rsidR="001D323C" w:rsidRPr="001D323C">
        <w:t>.</w:t>
      </w:r>
    </w:p>
    <w:p w14:paraId="1258DB9C" w14:textId="3D9580D2" w:rsidR="00BE3F7A" w:rsidRPr="00EB30A8" w:rsidRDefault="00BE3F7A" w:rsidP="00BE3F7A">
      <w:pPr>
        <w:pStyle w:val="EndnoteText"/>
        <w:rPr>
          <w:rStyle w:val="Hyperlink"/>
          <w:color w:val="65666C"/>
          <w:szCs w:val="20"/>
          <w:u w:val="none"/>
        </w:rPr>
      </w:pPr>
      <w:r w:rsidRPr="004310A6">
        <w:t>Centers for Medicare &amp; Medicaid Services (CMS), U.S. Department of Health and Human Services. 202</w:t>
      </w:r>
      <w:r>
        <w:t>4o</w:t>
      </w:r>
      <w:r w:rsidRPr="004310A6">
        <w:t>.</w:t>
      </w:r>
      <w:r w:rsidRPr="004310A6">
        <w:rPr>
          <w:i/>
        </w:rPr>
        <w:t xml:space="preserve"> MAGI application processing time snapshot report: </w:t>
      </w:r>
      <w:r>
        <w:rPr>
          <w:i/>
        </w:rPr>
        <w:t>July 2023 – September 2023</w:t>
      </w:r>
      <w:r w:rsidRPr="004310A6">
        <w:rPr>
          <w:i/>
        </w:rPr>
        <w:t xml:space="preserve">. </w:t>
      </w:r>
      <w:r w:rsidRPr="004310A6">
        <w:t xml:space="preserve">Baltimore, MD: CMS. </w:t>
      </w:r>
      <w:hyperlink r:id="rId36" w:history="1">
        <w:r w:rsidRPr="001D323C">
          <w:rPr>
            <w:rStyle w:val="Hyperlink"/>
          </w:rPr>
          <w:t>https://www.medicaid.gov/state-overviews/downloads/magi-app-process-time-snapshot-rpt-jul-sep-2023.pdf</w:t>
        </w:r>
      </w:hyperlink>
      <w:r w:rsidR="001D323C" w:rsidRPr="001D323C">
        <w:t>.</w:t>
      </w:r>
    </w:p>
    <w:p w14:paraId="75EDA77E" w14:textId="77777777" w:rsidR="00BE3F7A" w:rsidRPr="002528E5" w:rsidRDefault="00BE3F7A" w:rsidP="00BE3F7A">
      <w:pPr>
        <w:pStyle w:val="EndnoteText"/>
      </w:pPr>
      <w:r w:rsidRPr="002528E5">
        <w:t>Centers for Medicare &amp; Medicaid Services (CMS), U.S. Department of Health and Human Services. 2023a.</w:t>
      </w:r>
      <w:r w:rsidRPr="002528E5">
        <w:rPr>
          <w:i/>
        </w:rPr>
        <w:t xml:space="preserve"> Data Overview: Medicaid and CHIP renewals and returning to regular operations, last updated: September 2023. </w:t>
      </w:r>
      <w:r w:rsidRPr="002528E5">
        <w:t xml:space="preserve">Baltimore, MD: CMS. </w:t>
      </w:r>
      <w:hyperlink r:id="rId37" w:history="1">
        <w:r w:rsidRPr="002528E5">
          <w:rPr>
            <w:rStyle w:val="Hyperlink"/>
          </w:rPr>
          <w:t>https://www.medicaid.gov/sites/default/files/2023-09/data-overview-092023.pdf</w:t>
        </w:r>
      </w:hyperlink>
      <w:r w:rsidRPr="002528E5">
        <w:t xml:space="preserve">. </w:t>
      </w:r>
    </w:p>
    <w:p w14:paraId="393F72FA" w14:textId="44F1B36C" w:rsidR="00BE3F7A" w:rsidRPr="002528E5" w:rsidRDefault="00BE3F7A" w:rsidP="00BE3F7A">
      <w:pPr>
        <w:pStyle w:val="EndnoteText"/>
      </w:pPr>
      <w:r w:rsidRPr="002528E5">
        <w:t xml:space="preserve">Centers for Medicare &amp; Medicaid Services (CMS), U.S. Department of Health and Human Services. 2023b. Letter from Daniel Tsai to state Medicaid directors regarding “Requirements to conduct Medicaid and CHIP renewal at the individual level.” August 30, 2023. </w:t>
      </w:r>
      <w:hyperlink r:id="rId38" w:history="1">
        <w:r w:rsidRPr="002528E5">
          <w:rPr>
            <w:rStyle w:val="Hyperlink"/>
          </w:rPr>
          <w:t>https://www.medicaid.gov/sites/default/files/2023-08/state-ltr-ensuring-renewal-compliance.pdf</w:t>
        </w:r>
      </w:hyperlink>
      <w:r w:rsidR="001D323C" w:rsidRPr="001D323C">
        <w:t>.</w:t>
      </w:r>
    </w:p>
    <w:p w14:paraId="522AB15E" w14:textId="77777777" w:rsidR="00BE3F7A" w:rsidRDefault="00BE3F7A" w:rsidP="00BE3F7A">
      <w:pPr>
        <w:pStyle w:val="EndnoteText"/>
      </w:pPr>
      <w:r w:rsidRPr="002528E5">
        <w:t xml:space="preserve">Centers for Medicare &amp; Medicaid Services (CMS), U.S. Department of Health and Human Services. 2023c. </w:t>
      </w:r>
      <w:r w:rsidRPr="002528E5">
        <w:rPr>
          <w:i/>
        </w:rPr>
        <w:t>Preliminary overview of state assessments regarding compliance with Medicaid and CHIP automatic renewal requirements at the individual level, as of September 21, 2023</w:t>
      </w:r>
      <w:r w:rsidRPr="002528E5">
        <w:t xml:space="preserve">. Baltimore, MD: CMS. </w:t>
      </w:r>
      <w:hyperlink r:id="rId39" w:history="1">
        <w:r w:rsidRPr="002528E5">
          <w:rPr>
            <w:rStyle w:val="Hyperlink"/>
          </w:rPr>
          <w:t>https://www.medicaid.gov/sites/default/files/2023-09/state-asesment-compliance-auto-ren-req_0.pdf</w:t>
        </w:r>
      </w:hyperlink>
      <w:r w:rsidRPr="002528E5">
        <w:t>.</w:t>
      </w:r>
      <w:r>
        <w:t xml:space="preserve"> </w:t>
      </w:r>
    </w:p>
    <w:p w14:paraId="4AE3471A" w14:textId="77777777" w:rsidR="00BE3F7A" w:rsidRPr="00287CB3" w:rsidRDefault="00BE3F7A" w:rsidP="00BE3F7A">
      <w:pPr>
        <w:pStyle w:val="EndnoteText"/>
      </w:pPr>
      <w:r w:rsidRPr="00BF0B71">
        <w:t>Centers for Medicare &amp; Medicaid Services (CMS), U.S. Department of Health and Human Services. 2023d.</w:t>
      </w:r>
      <w:r w:rsidRPr="00BF0B71">
        <w:rPr>
          <w:i/>
        </w:rPr>
        <w:t xml:space="preserve"> MAGI application processing time snapshot report: April 2023 - June 2023. </w:t>
      </w:r>
      <w:r w:rsidRPr="00BF0B71">
        <w:t xml:space="preserve">Baltimore, MD: CMS. </w:t>
      </w:r>
      <w:hyperlink r:id="rId40" w:history="1">
        <w:r w:rsidRPr="00BF0B71">
          <w:rPr>
            <w:rStyle w:val="Hyperlink"/>
          </w:rPr>
          <w:t>https://www.medicaid.gov/sites/default/files/2023-10/magi-app-process-time-snapshot-rpt-apr-jun-2023.pdf</w:t>
        </w:r>
      </w:hyperlink>
      <w:r w:rsidRPr="00BF0B71">
        <w:t>.</w:t>
      </w:r>
      <w:r>
        <w:t xml:space="preserve">  </w:t>
      </w:r>
    </w:p>
    <w:p w14:paraId="0C2B9620" w14:textId="77777777" w:rsidR="00BE3F7A" w:rsidRDefault="00BE3F7A" w:rsidP="00BE3F7A">
      <w:pPr>
        <w:pStyle w:val="EndnoteText"/>
      </w:pPr>
      <w:r>
        <w:t xml:space="preserve">Centers for Medicare &amp; Medicaid Services (CMS), U.S. Department of Health and Human Services. 2023e. Medicaid; CMS enforcement of state compliance with reporting and federal Medicaid renewal requirements under Section 1902(tt) of the Social Security Act. Interim final rule with comment period. </w:t>
      </w:r>
      <w:r>
        <w:rPr>
          <w:i/>
        </w:rPr>
        <w:t>Federal Register</w:t>
      </w:r>
      <w:r>
        <w:t xml:space="preserve"> 88, no. 233 (December 6): 84713–84737. </w:t>
      </w:r>
      <w:hyperlink r:id="rId41" w:history="1">
        <w:r>
          <w:rPr>
            <w:rStyle w:val="Hyperlink"/>
          </w:rPr>
          <w:t>https://www.govinfo.gov/content/pkg/FR-2023-12-06/pdf/2023-26640.pdf</w:t>
        </w:r>
      </w:hyperlink>
      <w:r>
        <w:t xml:space="preserve">. </w:t>
      </w:r>
    </w:p>
    <w:p w14:paraId="7F2B0FC1" w14:textId="77777777" w:rsidR="00BE3F7A" w:rsidRPr="00A33AB9" w:rsidRDefault="00BE3F7A" w:rsidP="00BE3F7A">
      <w:pPr>
        <w:pStyle w:val="EndnoteText"/>
        <w:rPr>
          <w:i/>
        </w:rPr>
      </w:pPr>
      <w:r w:rsidRPr="004310A6">
        <w:lastRenderedPageBreak/>
        <w:t>Centers for Medicare &amp; Medicaid Services (CMS), U.S. Department of Health and Human Services. 2023</w:t>
      </w:r>
      <w:r>
        <w:t>f</w:t>
      </w:r>
      <w:r w:rsidRPr="004310A6">
        <w:t>.</w:t>
      </w:r>
      <w:r w:rsidRPr="004310A6">
        <w:rPr>
          <w:i/>
        </w:rPr>
        <w:t xml:space="preserve"> Medicaid and CHIP unwinding operations snapshot – August 2023 data (released November 2023). </w:t>
      </w:r>
      <w:r w:rsidRPr="004310A6">
        <w:t xml:space="preserve">Baltimore, MD: CMS. </w:t>
      </w:r>
      <w:hyperlink r:id="rId42" w:history="1">
        <w:r w:rsidRPr="004310A6">
          <w:rPr>
            <w:rStyle w:val="Hyperlink"/>
          </w:rPr>
          <w:t>https://www.medicaid.gov/sites/default/files/2023-11/medicaid-chip-unwinding-oper-snap-august2023.pdf</w:t>
        </w:r>
      </w:hyperlink>
      <w:r w:rsidRPr="004310A6">
        <w:t xml:space="preserve">. </w:t>
      </w:r>
    </w:p>
    <w:p w14:paraId="32085FEB" w14:textId="77777777" w:rsidR="00BE3F7A" w:rsidRDefault="00BE3F7A" w:rsidP="00BE3F7A">
      <w:pPr>
        <w:pStyle w:val="EndnoteText"/>
      </w:pPr>
      <w:r w:rsidRPr="004310A6">
        <w:t>Centers for Medicare &amp; Medicaid Services (CMS), U.S. Department of Health and Human Services. 2023</w:t>
      </w:r>
      <w:r>
        <w:t>g</w:t>
      </w:r>
      <w:r w:rsidRPr="004310A6">
        <w:t xml:space="preserve">. Data reporting Medicaid and CHIP renewals: Returning to regular operations. </w:t>
      </w:r>
      <w:hyperlink r:id="rId43" w:history="1">
        <w:r w:rsidRPr="004310A6">
          <w:rPr>
            <w:rStyle w:val="Hyperlink"/>
          </w:rPr>
          <w:t>https://www.medicaid.gov/resources-for-states/coronavirus-disease-2019-covid-19/unwinding-data-reporting/index.html</w:t>
        </w:r>
      </w:hyperlink>
      <w:r w:rsidRPr="004310A6">
        <w:t xml:space="preserve">. </w:t>
      </w:r>
    </w:p>
    <w:p w14:paraId="06547724" w14:textId="100EEB7A" w:rsidR="00BE3F7A" w:rsidRDefault="00BE3F7A" w:rsidP="00BE3F7A">
      <w:pPr>
        <w:pStyle w:val="EndnoteText"/>
      </w:pPr>
      <w:r>
        <w:t xml:space="preserve">Centers for Medicare &amp; Medicaid Services (CMS), U.S. Department of Health and Human Services. 2022a. Ex parte renewal: Strategies to maximize automation, increase renewal rates, and support unwinding efforts. Baltimore, MD: CMS. </w:t>
      </w:r>
      <w:hyperlink r:id="rId44" w:history="1">
        <w:r w:rsidRPr="001D323C">
          <w:rPr>
            <w:rStyle w:val="Hyperlink"/>
          </w:rPr>
          <w:t>https://www.medicaid.gov/sites/default/files/2022-10/ex-parte-renewal-102022.pdf</w:t>
        </w:r>
      </w:hyperlink>
      <w:r w:rsidR="001D323C" w:rsidRPr="001D323C">
        <w:t>.</w:t>
      </w:r>
    </w:p>
    <w:p w14:paraId="716B5F77" w14:textId="77777777" w:rsidR="00BE3F7A" w:rsidRDefault="00BE3F7A" w:rsidP="00BE3F7A">
      <w:pPr>
        <w:pStyle w:val="EndnoteText"/>
      </w:pPr>
      <w:r>
        <w:t xml:space="preserve">Centers for Medicare &amp; Medicaid Services (CMS), U.S. Department of Health and Human Services. 2022b. The Coverage Learning Collaborative: Medicaid and Children’s Health Insurance Program (CHIP) eligibility and enrollment unwinding data reporting and submission. Baltimore, MD: CMS. </w:t>
      </w:r>
      <w:hyperlink r:id="rId45" w:history="1">
        <w:r>
          <w:rPr>
            <w:rStyle w:val="Hyperlink"/>
          </w:rPr>
          <w:t>https://www.medicaid.gov/resources-for-states/downloads/unwinding-data-training-slides.pdf</w:t>
        </w:r>
      </w:hyperlink>
      <w:r>
        <w:t xml:space="preserve">. </w:t>
      </w:r>
    </w:p>
    <w:p w14:paraId="3F3A4BB2" w14:textId="77777777" w:rsidR="00BE3F7A" w:rsidRDefault="00BE3F7A" w:rsidP="00BE3F7A">
      <w:pPr>
        <w:pStyle w:val="EndnoteText"/>
      </w:pPr>
      <w:r>
        <w:t xml:space="preserve">Centers for Medicare &amp; Medicaid Services (CMS), U.S. Department of Health and Human Services. 2022c. </w:t>
      </w:r>
      <w:r>
        <w:rPr>
          <w:i/>
        </w:rPr>
        <w:t>Medicaid and Children’s Health Insurance Program eligibility and enrollment data specifications for reporting during unwinding: Updated December 2022.</w:t>
      </w:r>
      <w:r>
        <w:t xml:space="preserve"> Baltimore, MD: CMS. </w:t>
      </w:r>
      <w:hyperlink r:id="rId46" w:history="1">
        <w:r>
          <w:rPr>
            <w:rStyle w:val="Hyperlink"/>
          </w:rPr>
          <w:t>https://www.medicaid.gov/sites/default/files/2022-12/unwinding-data-specifications-dec-2022.pdf</w:t>
        </w:r>
      </w:hyperlink>
      <w:r>
        <w:t xml:space="preserve">. </w:t>
      </w:r>
    </w:p>
    <w:p w14:paraId="3A76C20F" w14:textId="77777777" w:rsidR="00BE3F7A" w:rsidRDefault="00BE3F7A" w:rsidP="00BE3F7A">
      <w:pPr>
        <w:pStyle w:val="EndnoteText"/>
      </w:pPr>
      <w:r>
        <w:t xml:space="preserve">Centers for Medicare &amp; Medicaid Services (CMS), U.S. Department of Health and Human Services. 2022d. </w:t>
      </w:r>
      <w:r>
        <w:rPr>
          <w:i/>
        </w:rPr>
        <w:t xml:space="preserve">Unwinding eligibility and enrollment data reporting template. </w:t>
      </w:r>
      <w:r>
        <w:t xml:space="preserve">Baltimore, MD: CMS. </w:t>
      </w:r>
      <w:hyperlink r:id="rId47" w:history="1">
        <w:r>
          <w:rPr>
            <w:rStyle w:val="Hyperlink"/>
          </w:rPr>
          <w:t>https://www.medicaid.gov/resources-for-states/downloads/unwinding-data-rprt.xlsx</w:t>
        </w:r>
      </w:hyperlink>
      <w:r>
        <w:t xml:space="preserve">. </w:t>
      </w:r>
    </w:p>
    <w:p w14:paraId="78FF7D7B" w14:textId="32FFE493" w:rsidR="00BE3F7A" w:rsidRDefault="00BE3F7A" w:rsidP="00BE3F7A">
      <w:pPr>
        <w:pStyle w:val="EndnoteText"/>
      </w:pPr>
      <w:r>
        <w:t xml:space="preserve">Centers for Medicare &amp; Medicaid Services (CMS), U.S. Department of Health and Human Services. 2020. Center for Medicaid and CHIP Services informational bulletin regarding “Medicaid and CHIP renewal requirements.” December 4, 2020. </w:t>
      </w:r>
      <w:hyperlink r:id="rId48" w:history="1">
        <w:r w:rsidRPr="001D323C">
          <w:rPr>
            <w:rStyle w:val="Hyperlink"/>
          </w:rPr>
          <w:t>https://www.medicaid.gov/federal-policy-guidance/downloads/cib120420.pdf</w:t>
        </w:r>
      </w:hyperlink>
      <w:r w:rsidR="001D323C" w:rsidRPr="001D323C">
        <w:t>.</w:t>
      </w:r>
    </w:p>
    <w:p w14:paraId="7C7DD52F" w14:textId="32160EDC" w:rsidR="00BE3F7A" w:rsidRDefault="00BE3F7A" w:rsidP="00BE3F7A">
      <w:pPr>
        <w:pStyle w:val="EndnoteText"/>
        <w:rPr>
          <w:rStyle w:val="Hyperlink"/>
        </w:rPr>
      </w:pPr>
      <w:r>
        <w:t xml:space="preserve">Medicaid and CHIP Learning Collaboratives, Centers for Medicare &amp; Medicaid Services (CMS). 2015. Training materials for state staff: Overview of the Medicaid and CHIP eligibility and enrollment performance indicators. Baltimore, MD: CMS </w:t>
      </w:r>
      <w:hyperlink r:id="rId49" w:history="1">
        <w:r>
          <w:rPr>
            <w:rStyle w:val="Hyperlink"/>
          </w:rPr>
          <w:t>https://www.medicaid.gov/medicaid/downloads/overview-of-performance-indicator-project.pdf</w:t>
        </w:r>
      </w:hyperlink>
      <w:r w:rsidR="001D323C" w:rsidRPr="001D323C">
        <w:t>.</w:t>
      </w:r>
    </w:p>
    <w:p w14:paraId="026875DF" w14:textId="1226C58F" w:rsidR="00BE3F7A" w:rsidRDefault="00BE3F7A" w:rsidP="00BE3F7A">
      <w:pPr>
        <w:pStyle w:val="EndnoteText"/>
      </w:pPr>
      <w:r>
        <w:t xml:space="preserve">Centers for Medicare &amp; Medicaid Services (CMS), U.S. Department of Health and Human Services. 2014. Performance indicators data dictionary. Baltimore, MD: CMS. </w:t>
      </w:r>
      <w:hyperlink r:id="rId50" w:history="1">
        <w:r w:rsidRPr="001D323C">
          <w:rPr>
            <w:rStyle w:val="Hyperlink"/>
          </w:rPr>
          <w:t>https://www.medicaid.gov/medicaid/downloads/performance-indicators-datadictionary.pdf</w:t>
        </w:r>
      </w:hyperlink>
      <w:r w:rsidR="001D323C" w:rsidRPr="001D323C">
        <w:t>.</w:t>
      </w:r>
    </w:p>
    <w:p w14:paraId="7C7EA0FC" w14:textId="7475BA4A" w:rsidR="00BE3F7A" w:rsidRDefault="00BE3F7A" w:rsidP="00BE3F7A">
      <w:pPr>
        <w:pStyle w:val="EndnoteText"/>
        <w:rPr>
          <w:rStyle w:val="Hyperlink"/>
        </w:rPr>
      </w:pPr>
      <w:r>
        <w:t xml:space="preserve">Centers for Medicare &amp; Medicaid Services (CMS), U.S. Department of Health and Human Services. 2011a. Medicaid program; Federal funding for Medicaid eligibility determination and enrollment activities. </w:t>
      </w:r>
      <w:r>
        <w:rPr>
          <w:i/>
        </w:rPr>
        <w:t>Federal Register</w:t>
      </w:r>
      <w:r>
        <w:t xml:space="preserve"> 76, no. 75 (April 19): 21950–21975. </w:t>
      </w:r>
      <w:hyperlink r:id="rId51" w:history="1">
        <w:r>
          <w:rPr>
            <w:rStyle w:val="Hyperlink"/>
          </w:rPr>
          <w:t>https://www.govinfo.gov/content/pkg/FR-2011-04-19/pdf/2011-9340.pdf</w:t>
        </w:r>
      </w:hyperlink>
      <w:r w:rsidR="001D323C" w:rsidRPr="001D323C">
        <w:t>.</w:t>
      </w:r>
    </w:p>
    <w:p w14:paraId="20F2CD80" w14:textId="77777777" w:rsidR="00BE3F7A" w:rsidRDefault="00BE3F7A" w:rsidP="00BE3F7A">
      <w:pPr>
        <w:pStyle w:val="EndnoteText"/>
      </w:pPr>
      <w:r>
        <w:t xml:space="preserve">Centers for Medicare &amp; Medicaid Services (CMS), U.S. Department of Health and Human Services. 2011b. Enhanced funding requirements: Seven conditions and standards. Medicaid IT Supplement (MITS-11-01-v1.0). Baltimore, MD: CMS. </w:t>
      </w:r>
      <w:hyperlink r:id="rId52" w:history="1">
        <w:r>
          <w:rPr>
            <w:rStyle w:val="Hyperlink"/>
          </w:rPr>
          <w:t>https://www.medicaid.gov/Medicaid-CHIP-Program-Information/By-Topics/Data-and-Systems/Downloads/EFR-Seven-Conditions-and-Standards.pdf</w:t>
        </w:r>
      </w:hyperlink>
      <w:r>
        <w:t>.</w:t>
      </w:r>
    </w:p>
    <w:p w14:paraId="1DC26BE9" w14:textId="616E37DB" w:rsidR="00BE3F7A" w:rsidRDefault="00BE3F7A" w:rsidP="00BE3F7A">
      <w:pPr>
        <w:pStyle w:val="EndnoteText"/>
      </w:pPr>
      <w:r>
        <w:t xml:space="preserve">KFF. 2024. Medicaid enrollment and unwinding tracker. July 23. Washington, DC: KFF. </w:t>
      </w:r>
      <w:hyperlink r:id="rId53" w:history="1">
        <w:r w:rsidRPr="001D323C">
          <w:rPr>
            <w:rStyle w:val="Hyperlink"/>
          </w:rPr>
          <w:t>https://www.kff.org/report-section/medicaid-enrollment-and-unwinding-tracker-state-enrollment-and-unwinding-data/</w:t>
        </w:r>
      </w:hyperlink>
      <w:r w:rsidR="001D323C" w:rsidRPr="001D323C">
        <w:t>.</w:t>
      </w:r>
    </w:p>
    <w:p w14:paraId="46B29D44" w14:textId="77777777" w:rsidR="00BE3F7A" w:rsidRDefault="00BE3F7A" w:rsidP="00BE3F7A">
      <w:pPr>
        <w:pStyle w:val="EndnoteText"/>
      </w:pPr>
      <w:r>
        <w:t xml:space="preserve">Medicaid and CHIP Payment and Access Commission (MACPAC). 2024a. MACPAC analysis of CMS State Medicaid and CHIP applications, eligibility determinations, and enrollment data, June, 28, 2024. </w:t>
      </w:r>
      <w:hyperlink r:id="rId54" w:history="1">
        <w:r>
          <w:rPr>
            <w:rStyle w:val="Hyperlink"/>
          </w:rPr>
          <w:t>https://data.medicaid.gov/dataset/6165f45b-ca93-5bb5-9d06-db29c692a360</w:t>
        </w:r>
      </w:hyperlink>
      <w:r>
        <w:t xml:space="preserve">. </w:t>
      </w:r>
    </w:p>
    <w:p w14:paraId="4D480874" w14:textId="77777777" w:rsidR="00BE3F7A" w:rsidRDefault="00BE3F7A" w:rsidP="00BE3F7A">
      <w:pPr>
        <w:pStyle w:val="EndnoteText"/>
      </w:pPr>
      <w:r>
        <w:t xml:space="preserve">Medicaid and CHIP Payment and Access Commission (MACPAC). 2024b. MACPAC analysis of CMS Medicaid and CHIP CAA reporting metrics, September 30, 2024. </w:t>
      </w:r>
      <w:hyperlink r:id="rId55" w:history="1">
        <w:r>
          <w:rPr>
            <w:rStyle w:val="Hyperlink"/>
          </w:rPr>
          <w:t>https://data.medicaid.gov/dataset/ebcfc16f-8291-4c61-82a4-055846d72f3a</w:t>
        </w:r>
      </w:hyperlink>
      <w:r>
        <w:t xml:space="preserve">/. </w:t>
      </w:r>
    </w:p>
    <w:p w14:paraId="5F79204E" w14:textId="77777777" w:rsidR="00BE3F7A" w:rsidRDefault="00BE3F7A" w:rsidP="00BE3F7A">
      <w:pPr>
        <w:pStyle w:val="EndnoteText"/>
      </w:pPr>
      <w:r>
        <w:lastRenderedPageBreak/>
        <w:t xml:space="preserve">Medicaid and CHIP Payment and Access Commission (MACPAC). 2024c. MACPAC analysis of CMS HealthCare.gov transitions marketplace Medicaid unwinding report, September 30, 2024. </w:t>
      </w:r>
      <w:hyperlink r:id="rId56" w:history="1">
        <w:r>
          <w:rPr>
            <w:rStyle w:val="Hyperlink"/>
          </w:rPr>
          <w:t>https://data.medicaid.gov/dataset/5636a78c-fe18-4229-aee1-e40fa910a8a0</w:t>
        </w:r>
      </w:hyperlink>
      <w:r>
        <w:t xml:space="preserve">.  </w:t>
      </w:r>
    </w:p>
    <w:p w14:paraId="44D94C31" w14:textId="77777777" w:rsidR="00BE3F7A" w:rsidRDefault="00BE3F7A" w:rsidP="00BE3F7A">
      <w:pPr>
        <w:pStyle w:val="EndnoteText"/>
      </w:pPr>
      <w:r>
        <w:t xml:space="preserve">Medicaid and CHIP Payment and Access Commission (MACPAC). 2024d. MACPAC analysis of CMS state-based marketplace (SBM) Medicaid unwinding report, September 30, 2024. </w:t>
      </w:r>
      <w:hyperlink r:id="rId57" w:history="1">
        <w:r>
          <w:rPr>
            <w:rStyle w:val="Hyperlink"/>
          </w:rPr>
          <w:t>https://data.medicaid.gov/dataset/5670e72c-e44e-4282-ab67-4ebebaba3cbd</w:t>
        </w:r>
      </w:hyperlink>
      <w:r>
        <w:t xml:space="preserve">.  </w:t>
      </w:r>
    </w:p>
    <w:p w14:paraId="5F4CD74E" w14:textId="2521B11A" w:rsidR="00BE3F7A" w:rsidRDefault="00BE3F7A" w:rsidP="00BE3F7A">
      <w:pPr>
        <w:pStyle w:val="EndnoteText"/>
      </w:pPr>
      <w:r>
        <w:t xml:space="preserve">Musumeci, M., M. O’Malley Watts, and M. Ammula. 2022. Medicaid public health emergency unwinding policies affecting seniors and people with disabilities: Findings from a 50-state survey. Washington, DC: Kaiser Family Foundation. </w:t>
      </w:r>
      <w:hyperlink r:id="rId58" w:history="1">
        <w:r w:rsidR="008B7F30" w:rsidRPr="00820878">
          <w:rPr>
            <w:rStyle w:val="Hyperlink"/>
            <w:szCs w:val="20"/>
          </w:rPr>
          <w:t>https://www.kff.org/medicaid/issue-brief/medicaid-public-health-emergency-unwinding-policies-affecting-seniors-people-with-disabilities-findings-from-a-50-state-survey/</w:t>
        </w:r>
      </w:hyperlink>
      <w:r>
        <w:t>.</w:t>
      </w:r>
    </w:p>
    <w:p w14:paraId="21ECAD92" w14:textId="52547FC2" w:rsidR="00BE3F7A" w:rsidRDefault="00BE3F7A" w:rsidP="00BE3F7A">
      <w:pPr>
        <w:pStyle w:val="EndnoteText"/>
      </w:pPr>
      <w:r>
        <w:t xml:space="preserve">Tolbert, J. R. Rudowitz, and P. Drake. 2023. Understanding Medicaid procedural disenrollment rates. Washington, DC: KFF. </w:t>
      </w:r>
      <w:hyperlink r:id="rId59" w:history="1">
        <w:r w:rsidRPr="001D323C">
          <w:rPr>
            <w:rStyle w:val="Hyperlink"/>
          </w:rPr>
          <w:t>https://www.kff.org/policy-watch/understanding-medicaid-procedural-disenrollment-rates/</w:t>
        </w:r>
      </w:hyperlink>
      <w:r w:rsidR="001D323C" w:rsidRPr="001D323C">
        <w:t>.</w:t>
      </w:r>
    </w:p>
    <w:p w14:paraId="0FCB728A" w14:textId="7BA40F01" w:rsidR="00BE3F7A" w:rsidRPr="008C256F" w:rsidRDefault="00BE3F7A" w:rsidP="00BE3F7A">
      <w:pPr>
        <w:pStyle w:val="ReferencesTitle"/>
        <w:rPr>
          <w:b w:val="0"/>
          <w:color w:val="65666C"/>
          <w:sz w:val="18"/>
          <w:szCs w:val="18"/>
        </w:rPr>
      </w:pPr>
      <w:r w:rsidRPr="008C256F">
        <w:rPr>
          <w:b w:val="0"/>
          <w:color w:val="65666C"/>
          <w:sz w:val="18"/>
          <w:szCs w:val="18"/>
        </w:rPr>
        <w:t xml:space="preserve">Zylla, E. and E. Lukanen. 2023. States’ reporting of Medicaid unwinding reinstatement data. Princeton, NJ: State Health &amp; Value Strategies. </w:t>
      </w:r>
      <w:hyperlink r:id="rId60" w:history="1">
        <w:r w:rsidRPr="008C256F">
          <w:rPr>
            <w:rStyle w:val="Hyperlink"/>
            <w:b w:val="0"/>
            <w:sz w:val="18"/>
            <w:szCs w:val="18"/>
          </w:rPr>
          <w:t>https://www.shvs.org/states-reporting-of-medicaid-unwinding-reinstatement-data/</w:t>
        </w:r>
      </w:hyperlink>
      <w:r w:rsidR="001D323C" w:rsidRPr="001D323C">
        <w:rPr>
          <w:color w:val="65666C"/>
          <w:szCs w:val="20"/>
        </w:rPr>
        <w:t>.</w:t>
      </w:r>
    </w:p>
    <w:p w14:paraId="122CFD27" w14:textId="77777777" w:rsidR="00BE3F7A" w:rsidRDefault="00BE3F7A">
      <w:pPr>
        <w:spacing w:after="0"/>
        <w:rPr>
          <w:rFonts w:eastAsia="MS Gothic"/>
          <w:b/>
          <w:color w:val="003461"/>
          <w:spacing w:val="5"/>
          <w:kern w:val="28"/>
          <w:sz w:val="44"/>
          <w:szCs w:val="52"/>
        </w:rPr>
      </w:pPr>
      <w:r>
        <w:br w:type="page"/>
      </w:r>
    </w:p>
    <w:p w14:paraId="3AACC5FD" w14:textId="1DCE6608" w:rsidR="00BE3F7A" w:rsidRDefault="00BE3F7A" w:rsidP="00BE3F7A">
      <w:pPr>
        <w:pStyle w:val="Title"/>
      </w:pPr>
      <w:r>
        <w:lastRenderedPageBreak/>
        <w:t>APPENDIX A: Unwinding Reporting Requirements</w:t>
      </w:r>
    </w:p>
    <w:p w14:paraId="113456C7" w14:textId="77777777" w:rsidR="00BE3F7A" w:rsidRDefault="00BE3F7A" w:rsidP="00BE3F7A">
      <w:pPr>
        <w:pStyle w:val="Heading2"/>
      </w:pPr>
      <w:r>
        <w:t>CMS reporting requirements through June 2024</w:t>
      </w:r>
    </w:p>
    <w:p w14:paraId="1FF1B7EF" w14:textId="77777777" w:rsidR="00BE3F7A" w:rsidRDefault="00BE3F7A" w:rsidP="00BE3F7A">
      <w:r>
        <w:t>In March 2022, CMS released a template and data specifications for baseline and monthly reporting metrics to assist the agency and states in monitoring the return to routine operations. On May 30, 2024, CMS published a State Health Official letter regarding guidance for state reporting after the unwinding period. After June 2024,  CMS expects states to continue to report certain measures, including those related to renewal actions, to support monitoring of enrollment, renewals, and disenrollment. States will not be expected to continue reporting data related to the processing of applications that were pending prior to the beginning of the unwinding period (CMS 2024c).</w:t>
      </w:r>
    </w:p>
    <w:p w14:paraId="172A02AD" w14:textId="77777777" w:rsidR="00BE3F7A" w:rsidRDefault="00BE3F7A" w:rsidP="00BE3F7A">
      <w:pPr>
        <w:rPr>
          <w:vertAlign w:val="superscript"/>
        </w:rPr>
      </w:pPr>
      <w:r>
        <w:t>In developing these metrics, CMS reviewed other data states were already required to report to ensure that they were not duplicating efforts. The agency also sought a balance between requesting information specifically needed to track the milestones and requirements laid out in the unwinding guidance and keeping the requirements as streamlined as possible. Additionally, to ease the submission process, CMS directed states to report these data using the same timelines and platforms they use to submit existing performance indicator data (CMS 2022b).</w:t>
      </w:r>
      <w:r>
        <w:rPr>
          <w:vertAlign w:val="superscript"/>
        </w:rPr>
        <w:t>1</w:t>
      </w:r>
    </w:p>
    <w:p w14:paraId="41B558D3" w14:textId="77777777" w:rsidR="00BE3F7A" w:rsidRDefault="00BE3F7A" w:rsidP="00BE3F7A">
      <w:r>
        <w:t xml:space="preserve">The baseline report was meant to serve as a starting point to track the number of pending eligibility and enrollment actions that need to be addressed during the unwinding period. The baseline reports included data on pending applications, renewals, and fair hearings and were due at the end of the month prior to the state’s unwinding period. Monthly reports track progress addressing pending actions throughout the unwinding period. States are required to report data on pending and completed applications and renewals and pending fair hearings (Table 1). Monthly reports are due on the 8th calendar day of each month (CMS 2022b, 2022c, 2022d). </w:t>
      </w:r>
    </w:p>
    <w:p w14:paraId="651D7669" w14:textId="77777777" w:rsidR="00BE3F7A" w:rsidRDefault="00BE3F7A" w:rsidP="00BE3F7A">
      <w:pPr>
        <w:pStyle w:val="Caption"/>
      </w:pPr>
      <w:r>
        <w:rPr>
          <w:b/>
        </w:rPr>
        <w:t>TABLE A-1.</w:t>
      </w:r>
      <w:r>
        <w:t xml:space="preserve"> Metrics Included in Monthly Unwinding Reports During and After Unwinding </w:t>
      </w:r>
    </w:p>
    <w:tbl>
      <w:tblPr>
        <w:tblW w:w="10052" w:type="dxa"/>
        <w:tblInd w:w="-10" w:type="dxa"/>
        <w:tblLook w:val="04A0" w:firstRow="1" w:lastRow="0" w:firstColumn="1" w:lastColumn="0" w:noHBand="0" w:noVBand="1"/>
      </w:tblPr>
      <w:tblGrid>
        <w:gridCol w:w="7470"/>
        <w:gridCol w:w="2582"/>
      </w:tblGrid>
      <w:tr w:rsidR="00BE3F7A" w14:paraId="74099E14" w14:textId="77777777" w:rsidTr="008C6A52">
        <w:trPr>
          <w:tblHeader/>
        </w:trPr>
        <w:tc>
          <w:tcPr>
            <w:tcW w:w="7470" w:type="dxa"/>
            <w:tcBorders>
              <w:top w:val="single" w:sz="8" w:space="0" w:color="CBD0D2"/>
              <w:left w:val="single" w:sz="8" w:space="0" w:color="CBD0D2"/>
              <w:bottom w:val="single" w:sz="8" w:space="0" w:color="CBD0D2"/>
              <w:right w:val="single" w:sz="8" w:space="0" w:color="CBD0D2"/>
            </w:tcBorders>
            <w:shd w:val="clear" w:color="auto" w:fill="008170"/>
            <w:vAlign w:val="bottom"/>
            <w:hideMark/>
          </w:tcPr>
          <w:p w14:paraId="3654793B" w14:textId="77777777" w:rsidR="00BE3F7A" w:rsidRDefault="00BE3F7A">
            <w:pPr>
              <w:spacing w:after="0"/>
              <w:rPr>
                <w:rFonts w:eastAsia="Times New Roman" w:cs="Arial"/>
                <w:b/>
                <w:bCs/>
                <w:color w:val="FFFFFF"/>
              </w:rPr>
            </w:pPr>
            <w:r>
              <w:rPr>
                <w:rFonts w:eastAsia="Times New Roman" w:cs="Arial"/>
                <w:b/>
                <w:bCs/>
                <w:color w:val="FFFFFF"/>
              </w:rPr>
              <w:t>Monthly report Through June 2024</w:t>
            </w:r>
          </w:p>
        </w:tc>
        <w:tc>
          <w:tcPr>
            <w:tcW w:w="2582" w:type="dxa"/>
            <w:tcBorders>
              <w:top w:val="single" w:sz="8" w:space="0" w:color="CBD0D2"/>
              <w:left w:val="nil"/>
              <w:bottom w:val="single" w:sz="8" w:space="0" w:color="CBD0D2"/>
              <w:right w:val="single" w:sz="8" w:space="0" w:color="CBD0D2"/>
            </w:tcBorders>
            <w:shd w:val="clear" w:color="auto" w:fill="008170"/>
            <w:vAlign w:val="center"/>
            <w:hideMark/>
          </w:tcPr>
          <w:p w14:paraId="61BB932A" w14:textId="77777777" w:rsidR="00BE3F7A" w:rsidRDefault="00BE3F7A">
            <w:pPr>
              <w:spacing w:after="0"/>
              <w:jc w:val="center"/>
              <w:rPr>
                <w:rFonts w:eastAsia="Times New Roman" w:cs="Arial"/>
                <w:b/>
                <w:bCs/>
                <w:color w:val="FFFFFF"/>
              </w:rPr>
            </w:pPr>
            <w:r>
              <w:rPr>
                <w:rFonts w:eastAsia="Times New Roman" w:cs="Arial"/>
                <w:b/>
                <w:bCs/>
                <w:color w:val="FFFFFF"/>
              </w:rPr>
              <w:t>Monthly reporting after June 2024</w:t>
            </w:r>
          </w:p>
        </w:tc>
      </w:tr>
      <w:tr w:rsidR="00BE3F7A" w14:paraId="636C4769" w14:textId="77777777" w:rsidTr="008C6A52">
        <w:tc>
          <w:tcPr>
            <w:tcW w:w="10052" w:type="dxa"/>
            <w:gridSpan w:val="2"/>
            <w:tcBorders>
              <w:top w:val="single" w:sz="8" w:space="0" w:color="CBD0D2"/>
              <w:left w:val="single" w:sz="8" w:space="0" w:color="CBD0D2"/>
              <w:bottom w:val="single" w:sz="8" w:space="0" w:color="CBD0D2"/>
              <w:right w:val="single" w:sz="8" w:space="0" w:color="CBD0D2"/>
            </w:tcBorders>
            <w:shd w:val="clear" w:color="auto" w:fill="BFBFBF" w:themeFill="background1" w:themeFillShade="BF"/>
            <w:vAlign w:val="center"/>
            <w:hideMark/>
          </w:tcPr>
          <w:p w14:paraId="30024DB8" w14:textId="77777777" w:rsidR="00BE3F7A" w:rsidRDefault="00BE3F7A" w:rsidP="00BE3F7A">
            <w:pPr>
              <w:spacing w:after="0"/>
              <w:rPr>
                <w:rFonts w:eastAsia="Times New Roman" w:cs="Arial"/>
                <w:b/>
                <w:bCs/>
                <w:color w:val="40434B"/>
              </w:rPr>
            </w:pPr>
            <w:r>
              <w:rPr>
                <w:rFonts w:eastAsia="Times New Roman" w:cs="Arial"/>
                <w:b/>
                <w:bCs/>
                <w:color w:val="40434B"/>
              </w:rPr>
              <w:t xml:space="preserve">Application processing </w:t>
            </w:r>
          </w:p>
        </w:tc>
      </w:tr>
      <w:tr w:rsidR="00BE3F7A" w14:paraId="458A5E1A"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4BFC707E" w14:textId="77777777" w:rsidR="00BE3F7A" w:rsidRDefault="00BE3F7A" w:rsidP="00BE3F7A">
            <w:pPr>
              <w:spacing w:after="0"/>
              <w:rPr>
                <w:rFonts w:eastAsia="Times New Roman" w:cs="Arial"/>
                <w:color w:val="40434B"/>
              </w:rPr>
            </w:pPr>
            <w:r>
              <w:rPr>
                <w:rFonts w:eastAsia="Times New Roman" w:cs="Arial"/>
                <w:color w:val="40434B" w:themeColor="text1"/>
              </w:rPr>
              <w:t>1.  Total pending applications received between March 1, 2020 and the end of the month prior to the state's unwinding period (1a + 1b)</w:t>
            </w:r>
          </w:p>
        </w:tc>
        <w:tc>
          <w:tcPr>
            <w:tcW w:w="2582" w:type="dxa"/>
            <w:vMerge w:val="restart"/>
            <w:tcBorders>
              <w:top w:val="nil"/>
              <w:left w:val="single" w:sz="8" w:space="0" w:color="CBD0D2"/>
              <w:bottom w:val="single" w:sz="8" w:space="0" w:color="CBD0D2"/>
              <w:right w:val="single" w:sz="8" w:space="0" w:color="CBD0D2"/>
            </w:tcBorders>
            <w:shd w:val="clear" w:color="auto" w:fill="FFFFFF"/>
            <w:vAlign w:val="center"/>
            <w:hideMark/>
          </w:tcPr>
          <w:p w14:paraId="2E747A73" w14:textId="77777777" w:rsidR="00BE3F7A" w:rsidRDefault="00BE3F7A" w:rsidP="00BE3F7A">
            <w:pPr>
              <w:spacing w:after="0"/>
              <w:jc w:val="center"/>
              <w:rPr>
                <w:rFonts w:eastAsia="Times New Roman" w:cs="Arial"/>
                <w:b/>
                <w:bCs/>
                <w:color w:val="40434B"/>
              </w:rPr>
            </w:pPr>
            <w:r>
              <w:rPr>
                <w:rFonts w:eastAsia="Times New Roman" w:cs="Arial"/>
                <w:b/>
                <w:bCs/>
                <w:color w:val="40434B"/>
              </w:rPr>
              <w:t>Discontinued after completing application processing for all applications that were pending at the beginning of unwinding</w:t>
            </w:r>
          </w:p>
        </w:tc>
      </w:tr>
      <w:tr w:rsidR="00BE3F7A" w14:paraId="7F32E7EE" w14:textId="77777777" w:rsidTr="008C6A52">
        <w:tc>
          <w:tcPr>
            <w:tcW w:w="7470" w:type="dxa"/>
            <w:tcBorders>
              <w:top w:val="nil"/>
              <w:left w:val="single" w:sz="8" w:space="0" w:color="CBD0D2"/>
              <w:bottom w:val="single" w:sz="8" w:space="0" w:color="CBD0D2"/>
              <w:right w:val="single" w:sz="8" w:space="0" w:color="CBD0D2"/>
            </w:tcBorders>
            <w:vAlign w:val="center"/>
            <w:hideMark/>
          </w:tcPr>
          <w:p w14:paraId="6848DA7E" w14:textId="77777777" w:rsidR="00BE3F7A" w:rsidRDefault="00BE3F7A" w:rsidP="00BE3F7A">
            <w:pPr>
              <w:spacing w:after="0"/>
              <w:ind w:left="338"/>
              <w:rPr>
                <w:rFonts w:eastAsia="Times New Roman" w:cs="Arial"/>
                <w:color w:val="40434B"/>
              </w:rPr>
            </w:pPr>
            <w:r>
              <w:rPr>
                <w:rFonts w:eastAsia="Times New Roman" w:cs="Arial"/>
                <w:color w:val="40434B" w:themeColor="text1"/>
              </w:rPr>
              <w:t>1a. Total MAGI and other non-disability applications (2a+3a)</w:t>
            </w:r>
          </w:p>
        </w:tc>
        <w:tc>
          <w:tcPr>
            <w:tcW w:w="0" w:type="auto"/>
            <w:vMerge/>
            <w:tcBorders>
              <w:top w:val="nil"/>
              <w:left w:val="single" w:sz="8" w:space="0" w:color="CBD0D2"/>
              <w:bottom w:val="single" w:sz="8" w:space="0" w:color="CBD0D2"/>
              <w:right w:val="single" w:sz="8" w:space="0" w:color="CBD0D2"/>
            </w:tcBorders>
            <w:vAlign w:val="center"/>
            <w:hideMark/>
          </w:tcPr>
          <w:p w14:paraId="4DF305D0" w14:textId="77777777" w:rsidR="00BE3F7A" w:rsidRDefault="00BE3F7A" w:rsidP="00BE3F7A">
            <w:pPr>
              <w:spacing w:after="0"/>
              <w:rPr>
                <w:rFonts w:eastAsia="Times New Roman" w:cs="Arial"/>
                <w:b/>
                <w:bCs/>
                <w:color w:val="40434B"/>
              </w:rPr>
            </w:pPr>
          </w:p>
        </w:tc>
      </w:tr>
      <w:tr w:rsidR="00BE3F7A" w14:paraId="18523310"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5EF8A0D3" w14:textId="77777777" w:rsidR="00BE3F7A" w:rsidRDefault="00BE3F7A" w:rsidP="00BE3F7A">
            <w:pPr>
              <w:spacing w:after="0"/>
              <w:ind w:left="338"/>
              <w:rPr>
                <w:rFonts w:eastAsia="Times New Roman" w:cs="Arial"/>
                <w:color w:val="40434B"/>
              </w:rPr>
            </w:pPr>
            <w:r>
              <w:rPr>
                <w:rFonts w:eastAsia="Times New Roman" w:cs="Arial"/>
                <w:color w:val="40434B" w:themeColor="text1"/>
              </w:rPr>
              <w:t>1b. Total disability-related applications (2b+3b)</w:t>
            </w:r>
          </w:p>
        </w:tc>
        <w:tc>
          <w:tcPr>
            <w:tcW w:w="0" w:type="auto"/>
            <w:vMerge/>
            <w:tcBorders>
              <w:top w:val="nil"/>
              <w:left w:val="single" w:sz="8" w:space="0" w:color="CBD0D2"/>
              <w:bottom w:val="single" w:sz="8" w:space="0" w:color="CBD0D2"/>
              <w:right w:val="single" w:sz="8" w:space="0" w:color="CBD0D2"/>
            </w:tcBorders>
            <w:vAlign w:val="center"/>
            <w:hideMark/>
          </w:tcPr>
          <w:p w14:paraId="033EB92A" w14:textId="77777777" w:rsidR="00BE3F7A" w:rsidRDefault="00BE3F7A" w:rsidP="00BE3F7A">
            <w:pPr>
              <w:spacing w:after="0"/>
              <w:rPr>
                <w:rFonts w:eastAsia="Times New Roman" w:cs="Arial"/>
                <w:b/>
                <w:bCs/>
                <w:color w:val="40434B"/>
              </w:rPr>
            </w:pPr>
          </w:p>
        </w:tc>
      </w:tr>
      <w:tr w:rsidR="00BE3F7A" w14:paraId="61EAC4BE" w14:textId="77777777" w:rsidTr="008C6A52">
        <w:tc>
          <w:tcPr>
            <w:tcW w:w="7470" w:type="dxa"/>
            <w:tcBorders>
              <w:top w:val="nil"/>
              <w:left w:val="single" w:sz="8" w:space="0" w:color="CBD0D2"/>
              <w:bottom w:val="single" w:sz="8" w:space="0" w:color="CBD0D2"/>
              <w:right w:val="single" w:sz="8" w:space="0" w:color="CBD0D2"/>
            </w:tcBorders>
            <w:vAlign w:val="center"/>
            <w:hideMark/>
          </w:tcPr>
          <w:p w14:paraId="247DA623" w14:textId="77777777" w:rsidR="00BE3F7A" w:rsidRDefault="00BE3F7A" w:rsidP="00BE3F7A">
            <w:pPr>
              <w:spacing w:after="0"/>
              <w:rPr>
                <w:rFonts w:eastAsia="Times New Roman" w:cs="Arial"/>
                <w:color w:val="40434B"/>
              </w:rPr>
            </w:pPr>
            <w:r>
              <w:rPr>
                <w:rFonts w:eastAsia="Times New Roman" w:cs="Arial"/>
                <w:color w:val="40434B" w:themeColor="text1"/>
              </w:rPr>
              <w:t>2.  Of those applications included in monthly metric 1, the total number of applications completed as of the last day of the reporting period (2a+2b) </w:t>
            </w:r>
          </w:p>
        </w:tc>
        <w:tc>
          <w:tcPr>
            <w:tcW w:w="0" w:type="auto"/>
            <w:vMerge/>
            <w:tcBorders>
              <w:top w:val="nil"/>
              <w:left w:val="single" w:sz="8" w:space="0" w:color="CBD0D2"/>
              <w:bottom w:val="single" w:sz="8" w:space="0" w:color="CBD0D2"/>
              <w:right w:val="single" w:sz="8" w:space="0" w:color="CBD0D2"/>
            </w:tcBorders>
            <w:vAlign w:val="center"/>
            <w:hideMark/>
          </w:tcPr>
          <w:p w14:paraId="035B5579" w14:textId="77777777" w:rsidR="00BE3F7A" w:rsidRDefault="00BE3F7A" w:rsidP="00BE3F7A">
            <w:pPr>
              <w:spacing w:after="0"/>
              <w:rPr>
                <w:rFonts w:eastAsia="Times New Roman" w:cs="Arial"/>
                <w:b/>
                <w:bCs/>
                <w:color w:val="40434B"/>
              </w:rPr>
            </w:pPr>
          </w:p>
        </w:tc>
      </w:tr>
      <w:tr w:rsidR="00BE3F7A" w14:paraId="25B65A80"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068A994C" w14:textId="77777777" w:rsidR="00BE3F7A" w:rsidRDefault="00BE3F7A" w:rsidP="00BE3F7A">
            <w:pPr>
              <w:spacing w:after="0"/>
              <w:ind w:left="338"/>
              <w:rPr>
                <w:rFonts w:eastAsia="Times New Roman" w:cs="Arial"/>
                <w:color w:val="40434B"/>
              </w:rPr>
            </w:pPr>
            <w:r>
              <w:rPr>
                <w:rFonts w:eastAsia="Times New Roman" w:cs="Arial"/>
                <w:color w:val="40434B" w:themeColor="text1"/>
              </w:rPr>
              <w:t>2a. Completed MAGI and other non-disability related applications as of the last day of the reporting period</w:t>
            </w:r>
          </w:p>
        </w:tc>
        <w:tc>
          <w:tcPr>
            <w:tcW w:w="0" w:type="auto"/>
            <w:vMerge/>
            <w:tcBorders>
              <w:top w:val="nil"/>
              <w:left w:val="single" w:sz="8" w:space="0" w:color="CBD0D2"/>
              <w:bottom w:val="single" w:sz="8" w:space="0" w:color="CBD0D2"/>
              <w:right w:val="single" w:sz="8" w:space="0" w:color="CBD0D2"/>
            </w:tcBorders>
            <w:vAlign w:val="center"/>
            <w:hideMark/>
          </w:tcPr>
          <w:p w14:paraId="0E27BE25" w14:textId="77777777" w:rsidR="00BE3F7A" w:rsidRDefault="00BE3F7A" w:rsidP="00BE3F7A">
            <w:pPr>
              <w:spacing w:after="0"/>
              <w:rPr>
                <w:rFonts w:eastAsia="Times New Roman" w:cs="Arial"/>
                <w:b/>
                <w:bCs/>
                <w:color w:val="40434B"/>
              </w:rPr>
            </w:pPr>
          </w:p>
        </w:tc>
      </w:tr>
      <w:tr w:rsidR="00BE3F7A" w14:paraId="001F6697" w14:textId="77777777" w:rsidTr="008C6A52">
        <w:tc>
          <w:tcPr>
            <w:tcW w:w="7470" w:type="dxa"/>
            <w:tcBorders>
              <w:top w:val="nil"/>
              <w:left w:val="single" w:sz="8" w:space="0" w:color="CBD0D2"/>
              <w:bottom w:val="single" w:sz="8" w:space="0" w:color="CBD0D2"/>
              <w:right w:val="single" w:sz="8" w:space="0" w:color="CBD0D2"/>
            </w:tcBorders>
            <w:vAlign w:val="center"/>
            <w:hideMark/>
          </w:tcPr>
          <w:p w14:paraId="5FBA97CC" w14:textId="77777777" w:rsidR="00BE3F7A" w:rsidRDefault="00BE3F7A" w:rsidP="00BE3F7A">
            <w:pPr>
              <w:spacing w:after="0"/>
              <w:ind w:left="338"/>
              <w:rPr>
                <w:rFonts w:eastAsia="Times New Roman" w:cs="Arial"/>
                <w:color w:val="40434B"/>
              </w:rPr>
            </w:pPr>
            <w:r>
              <w:rPr>
                <w:rFonts w:eastAsia="Times New Roman" w:cs="Arial"/>
                <w:color w:val="40434B" w:themeColor="text1"/>
              </w:rPr>
              <w:t>2b. Completed disability-related applications as of the last day of the reporting period</w:t>
            </w:r>
          </w:p>
        </w:tc>
        <w:tc>
          <w:tcPr>
            <w:tcW w:w="0" w:type="auto"/>
            <w:vMerge/>
            <w:tcBorders>
              <w:top w:val="nil"/>
              <w:left w:val="single" w:sz="8" w:space="0" w:color="CBD0D2"/>
              <w:bottom w:val="single" w:sz="8" w:space="0" w:color="CBD0D2"/>
              <w:right w:val="single" w:sz="8" w:space="0" w:color="CBD0D2"/>
            </w:tcBorders>
            <w:vAlign w:val="center"/>
            <w:hideMark/>
          </w:tcPr>
          <w:p w14:paraId="145E48E6" w14:textId="77777777" w:rsidR="00BE3F7A" w:rsidRDefault="00BE3F7A" w:rsidP="00BE3F7A">
            <w:pPr>
              <w:spacing w:after="0"/>
              <w:rPr>
                <w:rFonts w:eastAsia="Times New Roman" w:cs="Arial"/>
                <w:b/>
                <w:bCs/>
                <w:color w:val="40434B"/>
              </w:rPr>
            </w:pPr>
          </w:p>
        </w:tc>
      </w:tr>
      <w:tr w:rsidR="00BE3F7A" w14:paraId="7C0DEE10"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4FAF69D3" w14:textId="77777777" w:rsidR="00BE3F7A" w:rsidRDefault="00BE3F7A" w:rsidP="00BE3F7A">
            <w:pPr>
              <w:spacing w:after="0"/>
              <w:rPr>
                <w:rFonts w:eastAsia="Times New Roman" w:cs="Arial"/>
                <w:color w:val="40434B"/>
              </w:rPr>
            </w:pPr>
            <w:r>
              <w:rPr>
                <w:rFonts w:eastAsia="Times New Roman" w:cs="Arial"/>
                <w:color w:val="40434B" w:themeColor="text1"/>
              </w:rPr>
              <w:t>3. Of those applications included in monthly metric 1, the total number of applications that remain pending as of the last day of the reporting period (3a+3b)</w:t>
            </w:r>
          </w:p>
        </w:tc>
        <w:tc>
          <w:tcPr>
            <w:tcW w:w="0" w:type="auto"/>
            <w:vMerge/>
            <w:tcBorders>
              <w:top w:val="nil"/>
              <w:left w:val="single" w:sz="8" w:space="0" w:color="CBD0D2"/>
              <w:bottom w:val="single" w:sz="8" w:space="0" w:color="CBD0D2"/>
              <w:right w:val="single" w:sz="8" w:space="0" w:color="CBD0D2"/>
            </w:tcBorders>
            <w:vAlign w:val="center"/>
            <w:hideMark/>
          </w:tcPr>
          <w:p w14:paraId="177B9B9F" w14:textId="77777777" w:rsidR="00BE3F7A" w:rsidRDefault="00BE3F7A" w:rsidP="00BE3F7A">
            <w:pPr>
              <w:spacing w:after="0"/>
              <w:rPr>
                <w:rFonts w:eastAsia="Times New Roman" w:cs="Arial"/>
                <w:b/>
                <w:bCs/>
                <w:color w:val="40434B"/>
              </w:rPr>
            </w:pPr>
          </w:p>
        </w:tc>
      </w:tr>
      <w:tr w:rsidR="00BE3F7A" w14:paraId="1AE4B346" w14:textId="77777777" w:rsidTr="008C6A52">
        <w:tc>
          <w:tcPr>
            <w:tcW w:w="7470" w:type="dxa"/>
            <w:tcBorders>
              <w:top w:val="nil"/>
              <w:left w:val="single" w:sz="8" w:space="0" w:color="CBD0D2"/>
              <w:bottom w:val="single" w:sz="8" w:space="0" w:color="CBD0D2"/>
              <w:right w:val="single" w:sz="8" w:space="0" w:color="CBD0D2"/>
            </w:tcBorders>
            <w:vAlign w:val="center"/>
            <w:hideMark/>
          </w:tcPr>
          <w:p w14:paraId="3D72CAB5" w14:textId="77777777" w:rsidR="00BE3F7A" w:rsidRDefault="00BE3F7A" w:rsidP="00BE3F7A">
            <w:pPr>
              <w:spacing w:after="0"/>
              <w:ind w:left="338"/>
              <w:rPr>
                <w:rFonts w:eastAsia="Times New Roman" w:cs="Arial"/>
                <w:color w:val="40434B"/>
              </w:rPr>
            </w:pPr>
            <w:r>
              <w:rPr>
                <w:rFonts w:eastAsia="Times New Roman" w:cs="Arial"/>
                <w:color w:val="40434B" w:themeColor="text1"/>
              </w:rPr>
              <w:t>3a. Pending MAGI and other non-disability applications as of the last day of the reporting period</w:t>
            </w:r>
          </w:p>
        </w:tc>
        <w:tc>
          <w:tcPr>
            <w:tcW w:w="0" w:type="auto"/>
            <w:vMerge/>
            <w:tcBorders>
              <w:top w:val="nil"/>
              <w:left w:val="single" w:sz="8" w:space="0" w:color="CBD0D2"/>
              <w:bottom w:val="single" w:sz="8" w:space="0" w:color="CBD0D2"/>
              <w:right w:val="single" w:sz="8" w:space="0" w:color="CBD0D2"/>
            </w:tcBorders>
            <w:vAlign w:val="center"/>
            <w:hideMark/>
          </w:tcPr>
          <w:p w14:paraId="77D754FF" w14:textId="77777777" w:rsidR="00BE3F7A" w:rsidRDefault="00BE3F7A" w:rsidP="00BE3F7A">
            <w:pPr>
              <w:spacing w:after="0"/>
              <w:rPr>
                <w:rFonts w:eastAsia="Times New Roman" w:cs="Arial"/>
                <w:b/>
                <w:bCs/>
                <w:color w:val="40434B"/>
              </w:rPr>
            </w:pPr>
          </w:p>
        </w:tc>
      </w:tr>
      <w:tr w:rsidR="00BE3F7A" w14:paraId="3143091A"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52BE48FD" w14:textId="77777777" w:rsidR="00BE3F7A" w:rsidRDefault="00BE3F7A" w:rsidP="00BE3F7A">
            <w:pPr>
              <w:spacing w:after="0"/>
              <w:ind w:left="338"/>
              <w:rPr>
                <w:rFonts w:eastAsia="Times New Roman" w:cs="Arial"/>
                <w:color w:val="40434B"/>
              </w:rPr>
            </w:pPr>
            <w:r>
              <w:rPr>
                <w:rFonts w:eastAsia="Times New Roman" w:cs="Arial"/>
                <w:color w:val="40434B" w:themeColor="text1"/>
              </w:rPr>
              <w:t>3b. Pending disability-related applications as of the last day of the reporting period</w:t>
            </w:r>
          </w:p>
        </w:tc>
        <w:tc>
          <w:tcPr>
            <w:tcW w:w="0" w:type="auto"/>
            <w:vMerge/>
            <w:tcBorders>
              <w:top w:val="nil"/>
              <w:left w:val="single" w:sz="8" w:space="0" w:color="CBD0D2"/>
              <w:bottom w:val="single" w:sz="8" w:space="0" w:color="CBD0D2"/>
              <w:right w:val="single" w:sz="8" w:space="0" w:color="CBD0D2"/>
            </w:tcBorders>
            <w:vAlign w:val="center"/>
            <w:hideMark/>
          </w:tcPr>
          <w:p w14:paraId="6902F377" w14:textId="77777777" w:rsidR="00BE3F7A" w:rsidRDefault="00BE3F7A" w:rsidP="00BE3F7A">
            <w:pPr>
              <w:spacing w:after="0"/>
              <w:rPr>
                <w:rFonts w:eastAsia="Times New Roman" w:cs="Arial"/>
                <w:b/>
                <w:bCs/>
                <w:color w:val="40434B"/>
              </w:rPr>
            </w:pPr>
          </w:p>
        </w:tc>
      </w:tr>
      <w:tr w:rsidR="00BE3F7A" w14:paraId="4E5E1B3C" w14:textId="77777777" w:rsidTr="008C6A52">
        <w:tc>
          <w:tcPr>
            <w:tcW w:w="10052" w:type="dxa"/>
            <w:gridSpan w:val="2"/>
            <w:tcBorders>
              <w:top w:val="single" w:sz="8" w:space="0" w:color="CBD0D2"/>
              <w:left w:val="single" w:sz="8" w:space="0" w:color="CBD0D2"/>
              <w:bottom w:val="single" w:sz="8" w:space="0" w:color="CBD0D2"/>
              <w:right w:val="single" w:sz="8" w:space="0" w:color="CBD0D2"/>
            </w:tcBorders>
            <w:shd w:val="clear" w:color="auto" w:fill="BFBFBF" w:themeFill="background1" w:themeFillShade="BF"/>
            <w:vAlign w:val="center"/>
            <w:hideMark/>
          </w:tcPr>
          <w:p w14:paraId="73C1015C" w14:textId="77777777" w:rsidR="00BE3F7A" w:rsidRDefault="00BE3F7A" w:rsidP="00BE3F7A">
            <w:pPr>
              <w:spacing w:after="0"/>
              <w:rPr>
                <w:rFonts w:eastAsia="Times New Roman" w:cs="Arial"/>
                <w:b/>
                <w:bCs/>
                <w:color w:val="40434B"/>
              </w:rPr>
            </w:pPr>
            <w:r>
              <w:rPr>
                <w:rFonts w:eastAsia="Times New Roman" w:cs="Arial"/>
                <w:b/>
                <w:bCs/>
                <w:color w:val="40434B"/>
              </w:rPr>
              <w:t>Renewals initiated</w:t>
            </w:r>
          </w:p>
        </w:tc>
      </w:tr>
      <w:tr w:rsidR="00BE3F7A" w14:paraId="3B07C7CC"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0B47AD88" w14:textId="77777777" w:rsidR="00BE3F7A" w:rsidRDefault="00BE3F7A" w:rsidP="00BE3F7A">
            <w:pPr>
              <w:spacing w:after="0"/>
              <w:rPr>
                <w:rFonts w:eastAsia="Times New Roman" w:cs="Arial"/>
                <w:color w:val="40434B"/>
              </w:rPr>
            </w:pPr>
            <w:r>
              <w:rPr>
                <w:rFonts w:eastAsia="Times New Roman" w:cs="Arial"/>
                <w:color w:val="40434B" w:themeColor="text1"/>
              </w:rPr>
              <w:t>4. Total beneficiaries for whom a renewal was initiated in the reporting period</w:t>
            </w:r>
          </w:p>
        </w:tc>
        <w:tc>
          <w:tcPr>
            <w:tcW w:w="2582" w:type="dxa"/>
            <w:tcBorders>
              <w:top w:val="nil"/>
              <w:left w:val="nil"/>
              <w:bottom w:val="single" w:sz="8" w:space="0" w:color="CBD0D2"/>
              <w:right w:val="single" w:sz="8" w:space="0" w:color="CBD0D2"/>
            </w:tcBorders>
            <w:shd w:val="clear" w:color="auto" w:fill="FFFFFF"/>
            <w:vAlign w:val="center"/>
            <w:hideMark/>
          </w:tcPr>
          <w:p w14:paraId="57D900FD" w14:textId="77777777" w:rsidR="00BE3F7A" w:rsidRDefault="00BE3F7A" w:rsidP="00BE3F7A">
            <w:pPr>
              <w:spacing w:after="0"/>
              <w:jc w:val="center"/>
              <w:rPr>
                <w:rFonts w:eastAsia="Times New Roman" w:cs="Arial"/>
                <w:b/>
                <w:bCs/>
                <w:color w:val="40434B"/>
              </w:rPr>
            </w:pPr>
            <w:r>
              <w:rPr>
                <w:rFonts w:eastAsia="Times New Roman" w:cs="Arial"/>
                <w:b/>
                <w:bCs/>
                <w:color w:val="40434B"/>
              </w:rPr>
              <w:t>Yes</w:t>
            </w:r>
          </w:p>
        </w:tc>
      </w:tr>
      <w:tr w:rsidR="00BE3F7A" w14:paraId="798C54B7" w14:textId="77777777" w:rsidTr="008C6A52">
        <w:tc>
          <w:tcPr>
            <w:tcW w:w="10052" w:type="dxa"/>
            <w:gridSpan w:val="2"/>
            <w:tcBorders>
              <w:top w:val="single" w:sz="8" w:space="0" w:color="CBD0D2"/>
              <w:left w:val="single" w:sz="8" w:space="0" w:color="CBD0D2"/>
              <w:bottom w:val="single" w:sz="8" w:space="0" w:color="CBD0D2"/>
              <w:right w:val="single" w:sz="8" w:space="0" w:color="CBD0D2"/>
            </w:tcBorders>
            <w:shd w:val="clear" w:color="auto" w:fill="BFBFBF" w:themeFill="background1" w:themeFillShade="BF"/>
            <w:vAlign w:val="center"/>
            <w:hideMark/>
          </w:tcPr>
          <w:p w14:paraId="3488A770" w14:textId="77777777" w:rsidR="00BE3F7A" w:rsidRDefault="00BE3F7A" w:rsidP="00BE3F7A">
            <w:pPr>
              <w:spacing w:after="0"/>
              <w:rPr>
                <w:rFonts w:eastAsia="Times New Roman" w:cs="Arial"/>
                <w:b/>
                <w:bCs/>
                <w:color w:val="40434B"/>
              </w:rPr>
            </w:pPr>
            <w:r>
              <w:rPr>
                <w:rFonts w:eastAsia="Times New Roman" w:cs="Arial"/>
                <w:b/>
                <w:bCs/>
                <w:color w:val="40434B"/>
              </w:rPr>
              <w:lastRenderedPageBreak/>
              <w:t xml:space="preserve">Renewals and outcomes </w:t>
            </w:r>
          </w:p>
        </w:tc>
      </w:tr>
      <w:tr w:rsidR="00BE3F7A" w14:paraId="49650A72"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179AF94D" w14:textId="77777777" w:rsidR="00BE3F7A" w:rsidRDefault="00BE3F7A" w:rsidP="00BE3F7A">
            <w:pPr>
              <w:spacing w:after="0"/>
              <w:rPr>
                <w:rFonts w:eastAsia="Times New Roman" w:cs="Arial"/>
                <w:color w:val="40434B"/>
              </w:rPr>
            </w:pPr>
            <w:r>
              <w:rPr>
                <w:rFonts w:eastAsia="Times New Roman" w:cs="Arial"/>
                <w:color w:val="40434B" w:themeColor="text1"/>
              </w:rPr>
              <w:t>5. Total beneficiaries due for renewal in the reporting period (5a+5b+5c+5d)</w:t>
            </w:r>
          </w:p>
        </w:tc>
        <w:tc>
          <w:tcPr>
            <w:tcW w:w="2582" w:type="dxa"/>
            <w:vMerge w:val="restart"/>
            <w:tcBorders>
              <w:top w:val="nil"/>
              <w:left w:val="single" w:sz="8" w:space="0" w:color="CBD0D2"/>
              <w:bottom w:val="single" w:sz="8" w:space="0" w:color="CBD0D2"/>
              <w:right w:val="single" w:sz="8" w:space="0" w:color="CBD0D2"/>
            </w:tcBorders>
            <w:shd w:val="clear" w:color="auto" w:fill="FFFFFF"/>
            <w:vAlign w:val="center"/>
            <w:hideMark/>
          </w:tcPr>
          <w:p w14:paraId="2F5ACC86" w14:textId="77777777" w:rsidR="00BE3F7A" w:rsidRDefault="00BE3F7A" w:rsidP="00BE3F7A">
            <w:pPr>
              <w:spacing w:after="0"/>
              <w:jc w:val="center"/>
              <w:rPr>
                <w:rFonts w:eastAsia="Times New Roman" w:cs="Arial"/>
                <w:b/>
                <w:bCs/>
                <w:color w:val="40434B"/>
              </w:rPr>
            </w:pPr>
            <w:r>
              <w:rPr>
                <w:rFonts w:eastAsia="Times New Roman" w:cs="Arial"/>
                <w:b/>
                <w:bCs/>
                <w:color w:val="40434B"/>
              </w:rPr>
              <w:t>Yes</w:t>
            </w:r>
          </w:p>
        </w:tc>
      </w:tr>
      <w:tr w:rsidR="00BE3F7A" w14:paraId="19B107FF" w14:textId="77777777" w:rsidTr="008C6A52">
        <w:tc>
          <w:tcPr>
            <w:tcW w:w="7470" w:type="dxa"/>
            <w:tcBorders>
              <w:top w:val="nil"/>
              <w:left w:val="single" w:sz="8" w:space="0" w:color="CBD0D2"/>
              <w:bottom w:val="single" w:sz="8" w:space="0" w:color="CBD0D2"/>
              <w:right w:val="single" w:sz="8" w:space="0" w:color="CBD0D2"/>
            </w:tcBorders>
            <w:vAlign w:val="center"/>
            <w:hideMark/>
          </w:tcPr>
          <w:p w14:paraId="444E821E" w14:textId="77777777" w:rsidR="00BE3F7A" w:rsidRDefault="00BE3F7A" w:rsidP="00BE3F7A">
            <w:pPr>
              <w:spacing w:after="0"/>
              <w:ind w:leftChars="169" w:left="338"/>
              <w:rPr>
                <w:rFonts w:eastAsia="Times New Roman" w:cs="Arial"/>
                <w:color w:val="40434B"/>
              </w:rPr>
            </w:pPr>
            <w:r>
              <w:rPr>
                <w:rFonts w:eastAsia="Times New Roman" w:cs="Arial"/>
                <w:color w:val="40434B" w:themeColor="text1"/>
              </w:rPr>
              <w:t>5a.  Of the beneficiaries included in metric 5, the number renewed and retained in Medicaid or CHIP (those who remained enrolled) [5a (1) + 5a (2)]</w:t>
            </w:r>
          </w:p>
        </w:tc>
        <w:tc>
          <w:tcPr>
            <w:tcW w:w="0" w:type="auto"/>
            <w:vMerge/>
            <w:tcBorders>
              <w:top w:val="nil"/>
              <w:left w:val="single" w:sz="8" w:space="0" w:color="CBD0D2"/>
              <w:bottom w:val="single" w:sz="8" w:space="0" w:color="CBD0D2"/>
              <w:right w:val="single" w:sz="8" w:space="0" w:color="CBD0D2"/>
            </w:tcBorders>
            <w:vAlign w:val="center"/>
            <w:hideMark/>
          </w:tcPr>
          <w:p w14:paraId="12E29669" w14:textId="77777777" w:rsidR="00BE3F7A" w:rsidRDefault="00BE3F7A" w:rsidP="00BE3F7A">
            <w:pPr>
              <w:spacing w:after="0"/>
              <w:rPr>
                <w:rFonts w:eastAsia="Times New Roman" w:cs="Arial"/>
                <w:b/>
                <w:bCs/>
                <w:color w:val="40434B"/>
              </w:rPr>
            </w:pPr>
          </w:p>
        </w:tc>
      </w:tr>
      <w:tr w:rsidR="00BE3F7A" w14:paraId="67415F14"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378C90E9" w14:textId="77777777" w:rsidR="00BE3F7A" w:rsidRDefault="00BE3F7A" w:rsidP="00BE3F7A">
            <w:pPr>
              <w:spacing w:after="0"/>
              <w:ind w:leftChars="304" w:left="608"/>
              <w:rPr>
                <w:rFonts w:eastAsia="Times New Roman" w:cs="Arial"/>
                <w:color w:val="40434B"/>
              </w:rPr>
            </w:pPr>
            <w:r>
              <w:rPr>
                <w:rFonts w:eastAsia="Times New Roman" w:cs="Arial"/>
                <w:color w:val="40434B" w:themeColor="text1"/>
              </w:rPr>
              <w:t>5a (1) Number of beneficiaries renewed on an ex parte basis</w:t>
            </w:r>
          </w:p>
        </w:tc>
        <w:tc>
          <w:tcPr>
            <w:tcW w:w="0" w:type="auto"/>
            <w:vMerge/>
            <w:tcBorders>
              <w:top w:val="nil"/>
              <w:left w:val="single" w:sz="8" w:space="0" w:color="CBD0D2"/>
              <w:bottom w:val="single" w:sz="8" w:space="0" w:color="CBD0D2"/>
              <w:right w:val="single" w:sz="8" w:space="0" w:color="CBD0D2"/>
            </w:tcBorders>
            <w:vAlign w:val="center"/>
            <w:hideMark/>
          </w:tcPr>
          <w:p w14:paraId="26A01B3B" w14:textId="77777777" w:rsidR="00BE3F7A" w:rsidRDefault="00BE3F7A" w:rsidP="00BE3F7A">
            <w:pPr>
              <w:spacing w:after="0"/>
              <w:rPr>
                <w:rFonts w:eastAsia="Times New Roman" w:cs="Arial"/>
                <w:b/>
                <w:bCs/>
                <w:color w:val="40434B"/>
              </w:rPr>
            </w:pPr>
          </w:p>
        </w:tc>
      </w:tr>
      <w:tr w:rsidR="00BE3F7A" w14:paraId="534EA324" w14:textId="77777777" w:rsidTr="008C6A52">
        <w:tc>
          <w:tcPr>
            <w:tcW w:w="7470" w:type="dxa"/>
            <w:tcBorders>
              <w:top w:val="nil"/>
              <w:left w:val="single" w:sz="8" w:space="0" w:color="CBD0D2"/>
              <w:bottom w:val="single" w:sz="8" w:space="0" w:color="CBD0D2"/>
              <w:right w:val="single" w:sz="8" w:space="0" w:color="CBD0D2"/>
            </w:tcBorders>
            <w:vAlign w:val="center"/>
            <w:hideMark/>
          </w:tcPr>
          <w:p w14:paraId="51E96864" w14:textId="77777777" w:rsidR="00BE3F7A" w:rsidRDefault="00BE3F7A" w:rsidP="00BE3F7A">
            <w:pPr>
              <w:spacing w:after="0"/>
              <w:ind w:leftChars="304" w:left="608"/>
              <w:rPr>
                <w:rFonts w:eastAsia="Times New Roman" w:cs="Arial"/>
                <w:color w:val="40434B"/>
              </w:rPr>
            </w:pPr>
            <w:r>
              <w:rPr>
                <w:rFonts w:eastAsia="Times New Roman" w:cs="Arial"/>
                <w:color w:val="40434B" w:themeColor="text1"/>
              </w:rPr>
              <w:t xml:space="preserve">5a (2) Number of beneficiaries renewed using a pre-populated renewal form </w:t>
            </w:r>
          </w:p>
        </w:tc>
        <w:tc>
          <w:tcPr>
            <w:tcW w:w="0" w:type="auto"/>
            <w:vMerge/>
            <w:tcBorders>
              <w:top w:val="nil"/>
              <w:left w:val="single" w:sz="8" w:space="0" w:color="CBD0D2"/>
              <w:bottom w:val="single" w:sz="8" w:space="0" w:color="CBD0D2"/>
              <w:right w:val="single" w:sz="8" w:space="0" w:color="CBD0D2"/>
            </w:tcBorders>
            <w:vAlign w:val="center"/>
            <w:hideMark/>
          </w:tcPr>
          <w:p w14:paraId="0256B446" w14:textId="77777777" w:rsidR="00BE3F7A" w:rsidRDefault="00BE3F7A" w:rsidP="00BE3F7A">
            <w:pPr>
              <w:spacing w:after="0"/>
              <w:rPr>
                <w:rFonts w:eastAsia="Times New Roman" w:cs="Arial"/>
                <w:b/>
                <w:bCs/>
                <w:color w:val="40434B"/>
              </w:rPr>
            </w:pPr>
          </w:p>
        </w:tc>
      </w:tr>
      <w:tr w:rsidR="00BE3F7A" w14:paraId="6C5962F4"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0AD58163" w14:textId="77777777" w:rsidR="00BE3F7A" w:rsidRDefault="00BE3F7A" w:rsidP="00BE3F7A">
            <w:pPr>
              <w:spacing w:after="0"/>
              <w:ind w:leftChars="169" w:left="338"/>
              <w:rPr>
                <w:rFonts w:eastAsia="Times New Roman" w:cs="Arial"/>
                <w:color w:val="40434B"/>
              </w:rPr>
            </w:pPr>
            <w:r>
              <w:rPr>
                <w:rFonts w:eastAsia="Times New Roman" w:cs="Arial"/>
                <w:color w:val="40434B" w:themeColor="text1"/>
              </w:rPr>
              <w:t>5b. Of the beneficiaries included in metric 5, the number determined ineligible for Medicaid or CHIP (and transferred to marketplace)</w:t>
            </w:r>
          </w:p>
        </w:tc>
        <w:tc>
          <w:tcPr>
            <w:tcW w:w="0" w:type="auto"/>
            <w:vMerge/>
            <w:tcBorders>
              <w:top w:val="nil"/>
              <w:left w:val="single" w:sz="8" w:space="0" w:color="CBD0D2"/>
              <w:bottom w:val="single" w:sz="8" w:space="0" w:color="CBD0D2"/>
              <w:right w:val="single" w:sz="8" w:space="0" w:color="CBD0D2"/>
            </w:tcBorders>
            <w:vAlign w:val="center"/>
            <w:hideMark/>
          </w:tcPr>
          <w:p w14:paraId="3BD16D42" w14:textId="77777777" w:rsidR="00BE3F7A" w:rsidRDefault="00BE3F7A" w:rsidP="00BE3F7A">
            <w:pPr>
              <w:spacing w:after="0"/>
              <w:rPr>
                <w:rFonts w:eastAsia="Times New Roman" w:cs="Arial"/>
                <w:b/>
                <w:bCs/>
                <w:color w:val="40434B"/>
              </w:rPr>
            </w:pPr>
          </w:p>
        </w:tc>
      </w:tr>
      <w:tr w:rsidR="00BE3F7A" w14:paraId="304CF688" w14:textId="77777777" w:rsidTr="008C6A52">
        <w:tc>
          <w:tcPr>
            <w:tcW w:w="7470" w:type="dxa"/>
            <w:tcBorders>
              <w:top w:val="nil"/>
              <w:left w:val="single" w:sz="8" w:space="0" w:color="CBD0D2"/>
              <w:bottom w:val="single" w:sz="8" w:space="0" w:color="CBD0D2"/>
              <w:right w:val="single" w:sz="8" w:space="0" w:color="CBD0D2"/>
            </w:tcBorders>
            <w:vAlign w:val="center"/>
            <w:hideMark/>
          </w:tcPr>
          <w:p w14:paraId="3C360CA6" w14:textId="77777777" w:rsidR="00BE3F7A" w:rsidRDefault="00BE3F7A" w:rsidP="00BE3F7A">
            <w:pPr>
              <w:spacing w:after="0"/>
              <w:ind w:leftChars="169" w:left="338"/>
              <w:rPr>
                <w:rFonts w:eastAsia="Times New Roman" w:cs="Arial"/>
                <w:color w:val="40434B"/>
              </w:rPr>
            </w:pPr>
            <w:r>
              <w:rPr>
                <w:rFonts w:eastAsia="Times New Roman" w:cs="Arial"/>
                <w:color w:val="40434B" w:themeColor="text1"/>
              </w:rPr>
              <w:t xml:space="preserve">5c. Of the beneficiaries included in metric 5, the number terminated for procedural reasons (i.e. failure to respond) </w:t>
            </w:r>
          </w:p>
        </w:tc>
        <w:tc>
          <w:tcPr>
            <w:tcW w:w="0" w:type="auto"/>
            <w:vMerge/>
            <w:tcBorders>
              <w:top w:val="nil"/>
              <w:left w:val="single" w:sz="8" w:space="0" w:color="CBD0D2"/>
              <w:bottom w:val="single" w:sz="8" w:space="0" w:color="CBD0D2"/>
              <w:right w:val="single" w:sz="8" w:space="0" w:color="CBD0D2"/>
            </w:tcBorders>
            <w:vAlign w:val="center"/>
            <w:hideMark/>
          </w:tcPr>
          <w:p w14:paraId="00900643" w14:textId="77777777" w:rsidR="00BE3F7A" w:rsidRDefault="00BE3F7A" w:rsidP="00BE3F7A">
            <w:pPr>
              <w:spacing w:after="0"/>
              <w:rPr>
                <w:rFonts w:eastAsia="Times New Roman" w:cs="Arial"/>
                <w:b/>
                <w:bCs/>
                <w:color w:val="40434B"/>
              </w:rPr>
            </w:pPr>
          </w:p>
        </w:tc>
      </w:tr>
      <w:tr w:rsidR="00BE3F7A" w14:paraId="628627D3"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139A901C" w14:textId="77777777" w:rsidR="00BE3F7A" w:rsidRDefault="00BE3F7A" w:rsidP="00BE3F7A">
            <w:pPr>
              <w:spacing w:after="0"/>
              <w:ind w:leftChars="169" w:left="338"/>
              <w:rPr>
                <w:rFonts w:eastAsia="Times New Roman" w:cs="Arial"/>
                <w:color w:val="40434B"/>
              </w:rPr>
            </w:pPr>
            <w:r>
              <w:rPr>
                <w:rFonts w:eastAsia="Times New Roman" w:cs="Arial"/>
                <w:color w:val="40434B" w:themeColor="text1"/>
              </w:rPr>
              <w:t>5d. Of the beneficiaries included in metric 5, the number whose renewal was not completed</w:t>
            </w:r>
          </w:p>
        </w:tc>
        <w:tc>
          <w:tcPr>
            <w:tcW w:w="0" w:type="auto"/>
            <w:vMerge/>
            <w:tcBorders>
              <w:top w:val="nil"/>
              <w:left w:val="single" w:sz="8" w:space="0" w:color="CBD0D2"/>
              <w:bottom w:val="single" w:sz="8" w:space="0" w:color="CBD0D2"/>
              <w:right w:val="single" w:sz="8" w:space="0" w:color="CBD0D2"/>
            </w:tcBorders>
            <w:vAlign w:val="center"/>
            <w:hideMark/>
          </w:tcPr>
          <w:p w14:paraId="2B9732D7" w14:textId="77777777" w:rsidR="00BE3F7A" w:rsidRDefault="00BE3F7A" w:rsidP="00BE3F7A">
            <w:pPr>
              <w:spacing w:after="0"/>
              <w:rPr>
                <w:rFonts w:eastAsia="Times New Roman" w:cs="Arial"/>
                <w:b/>
                <w:bCs/>
                <w:color w:val="40434B"/>
              </w:rPr>
            </w:pPr>
          </w:p>
        </w:tc>
      </w:tr>
      <w:tr w:rsidR="00BE3F7A" w14:paraId="2C8BE8F3" w14:textId="77777777" w:rsidTr="008C6A52">
        <w:tc>
          <w:tcPr>
            <w:tcW w:w="7470" w:type="dxa"/>
            <w:tcBorders>
              <w:top w:val="nil"/>
              <w:left w:val="single" w:sz="8" w:space="0" w:color="CBD0D2"/>
              <w:bottom w:val="single" w:sz="8" w:space="0" w:color="CBD0D2"/>
              <w:right w:val="single" w:sz="8" w:space="0" w:color="CBD0D2"/>
            </w:tcBorders>
            <w:vAlign w:val="center"/>
            <w:hideMark/>
          </w:tcPr>
          <w:p w14:paraId="4FB2B74F" w14:textId="77777777" w:rsidR="00BE3F7A" w:rsidRDefault="00BE3F7A" w:rsidP="00BE3F7A">
            <w:pPr>
              <w:spacing w:after="0"/>
              <w:rPr>
                <w:rFonts w:eastAsia="Times New Roman" w:cs="Arial"/>
                <w:color w:val="40434B"/>
              </w:rPr>
            </w:pPr>
            <w:r>
              <w:rPr>
                <w:rFonts w:eastAsia="Times New Roman" w:cs="Arial"/>
                <w:color w:val="40434B" w:themeColor="text1"/>
              </w:rPr>
              <w:t>6. Month in which renewals due in the reporting month were initiated</w:t>
            </w:r>
          </w:p>
        </w:tc>
        <w:tc>
          <w:tcPr>
            <w:tcW w:w="0" w:type="auto"/>
            <w:vMerge/>
            <w:tcBorders>
              <w:top w:val="nil"/>
              <w:left w:val="single" w:sz="8" w:space="0" w:color="CBD0D2"/>
              <w:bottom w:val="single" w:sz="8" w:space="0" w:color="CBD0D2"/>
              <w:right w:val="single" w:sz="8" w:space="0" w:color="CBD0D2"/>
            </w:tcBorders>
            <w:vAlign w:val="center"/>
            <w:hideMark/>
          </w:tcPr>
          <w:p w14:paraId="162F3834" w14:textId="77777777" w:rsidR="00BE3F7A" w:rsidRDefault="00BE3F7A" w:rsidP="00BE3F7A">
            <w:pPr>
              <w:spacing w:after="0"/>
              <w:rPr>
                <w:rFonts w:eastAsia="Times New Roman" w:cs="Arial"/>
                <w:b/>
                <w:bCs/>
                <w:color w:val="40434B"/>
              </w:rPr>
            </w:pPr>
          </w:p>
        </w:tc>
      </w:tr>
      <w:tr w:rsidR="00BE3F7A" w14:paraId="3DC98DB9" w14:textId="77777777" w:rsidTr="008C6A52">
        <w:tc>
          <w:tcPr>
            <w:tcW w:w="7470" w:type="dxa"/>
            <w:tcBorders>
              <w:top w:val="nil"/>
              <w:left w:val="single" w:sz="8" w:space="0" w:color="CBD0D2"/>
              <w:bottom w:val="single" w:sz="8" w:space="0" w:color="CBD0D2"/>
              <w:right w:val="single" w:sz="8" w:space="0" w:color="CBD0D2"/>
            </w:tcBorders>
            <w:shd w:val="clear" w:color="auto" w:fill="ECECED"/>
            <w:vAlign w:val="center"/>
            <w:hideMark/>
          </w:tcPr>
          <w:p w14:paraId="0E7485C0" w14:textId="77777777" w:rsidR="00BE3F7A" w:rsidRDefault="00BE3F7A" w:rsidP="00BE3F7A">
            <w:pPr>
              <w:spacing w:after="0"/>
              <w:rPr>
                <w:rFonts w:eastAsia="Times New Roman" w:cs="Arial"/>
                <w:color w:val="40434B"/>
              </w:rPr>
            </w:pPr>
            <w:r>
              <w:rPr>
                <w:rFonts w:eastAsia="Times New Roman" w:cs="Arial"/>
                <w:color w:val="40434B" w:themeColor="text1"/>
              </w:rPr>
              <w:t>7. Number of beneficiaries due for a renewal since the beginning of the state's unwinding period whose renewal has not yet been completed</w:t>
            </w:r>
          </w:p>
        </w:tc>
        <w:tc>
          <w:tcPr>
            <w:tcW w:w="0" w:type="auto"/>
            <w:vMerge/>
            <w:tcBorders>
              <w:top w:val="nil"/>
              <w:left w:val="single" w:sz="8" w:space="0" w:color="CBD0D2"/>
              <w:bottom w:val="single" w:sz="8" w:space="0" w:color="CBD0D2"/>
              <w:right w:val="single" w:sz="8" w:space="0" w:color="CBD0D2"/>
            </w:tcBorders>
            <w:vAlign w:val="center"/>
            <w:hideMark/>
          </w:tcPr>
          <w:p w14:paraId="273BD791" w14:textId="77777777" w:rsidR="00BE3F7A" w:rsidRDefault="00BE3F7A" w:rsidP="00BE3F7A">
            <w:pPr>
              <w:spacing w:after="0"/>
              <w:rPr>
                <w:rFonts w:eastAsia="Times New Roman" w:cs="Arial"/>
                <w:b/>
                <w:bCs/>
                <w:color w:val="40434B"/>
              </w:rPr>
            </w:pPr>
          </w:p>
        </w:tc>
      </w:tr>
      <w:tr w:rsidR="00BE3F7A" w14:paraId="013342D4" w14:textId="77777777" w:rsidTr="008C6A52">
        <w:tc>
          <w:tcPr>
            <w:tcW w:w="10052" w:type="dxa"/>
            <w:gridSpan w:val="2"/>
            <w:tcBorders>
              <w:top w:val="single" w:sz="8" w:space="0" w:color="CBD0D2"/>
              <w:left w:val="single" w:sz="8" w:space="0" w:color="CBD0D2"/>
              <w:bottom w:val="single" w:sz="8" w:space="0" w:color="CBD0D2"/>
              <w:right w:val="single" w:sz="8" w:space="0" w:color="CBD0D2"/>
            </w:tcBorders>
            <w:shd w:val="clear" w:color="auto" w:fill="BFBFBF" w:themeFill="background1" w:themeFillShade="BF"/>
            <w:vAlign w:val="center"/>
            <w:hideMark/>
          </w:tcPr>
          <w:p w14:paraId="784EC6F3" w14:textId="77777777" w:rsidR="00BE3F7A" w:rsidRDefault="00BE3F7A" w:rsidP="00BE3F7A">
            <w:pPr>
              <w:spacing w:after="0"/>
              <w:rPr>
                <w:rFonts w:eastAsia="Times New Roman" w:cs="Arial"/>
                <w:b/>
                <w:bCs/>
                <w:color w:val="40434B"/>
              </w:rPr>
            </w:pPr>
            <w:r>
              <w:rPr>
                <w:rFonts w:eastAsia="Times New Roman" w:cs="Arial"/>
                <w:b/>
                <w:bCs/>
                <w:color w:val="40434B"/>
              </w:rPr>
              <w:t>Medicaid fair hearings</w:t>
            </w:r>
          </w:p>
        </w:tc>
      </w:tr>
      <w:tr w:rsidR="00BE3F7A" w14:paraId="4E1562AF" w14:textId="77777777" w:rsidTr="008C6A52">
        <w:tc>
          <w:tcPr>
            <w:tcW w:w="7470" w:type="dxa"/>
            <w:tcBorders>
              <w:top w:val="nil"/>
              <w:left w:val="single" w:sz="8" w:space="0" w:color="CBD0D2"/>
              <w:bottom w:val="single" w:sz="8" w:space="0" w:color="CBD0D2"/>
              <w:right w:val="single" w:sz="8" w:space="0" w:color="CBD0D2"/>
            </w:tcBorders>
            <w:shd w:val="clear" w:color="auto" w:fill="F2F2F2"/>
            <w:vAlign w:val="center"/>
            <w:hideMark/>
          </w:tcPr>
          <w:p w14:paraId="26977DE2" w14:textId="77777777" w:rsidR="00BE3F7A" w:rsidRDefault="00BE3F7A" w:rsidP="00BE3F7A">
            <w:pPr>
              <w:spacing w:after="0"/>
              <w:rPr>
                <w:rFonts w:eastAsia="Times New Roman" w:cs="Arial"/>
                <w:color w:val="40434B"/>
              </w:rPr>
            </w:pPr>
            <w:r>
              <w:rPr>
                <w:rFonts w:eastAsia="Times New Roman" w:cs="Arial"/>
                <w:color w:val="40434B" w:themeColor="text1"/>
              </w:rPr>
              <w:t xml:space="preserve">8. Total number of Medicaid fair hearings pending more than 90 days at the end of the reporting period </w:t>
            </w:r>
          </w:p>
        </w:tc>
        <w:tc>
          <w:tcPr>
            <w:tcW w:w="2582" w:type="dxa"/>
            <w:tcBorders>
              <w:top w:val="nil"/>
              <w:left w:val="nil"/>
              <w:bottom w:val="single" w:sz="8" w:space="0" w:color="CBD0D2"/>
              <w:right w:val="single" w:sz="8" w:space="0" w:color="CBD0D2"/>
            </w:tcBorders>
            <w:shd w:val="clear" w:color="auto" w:fill="FFFFFF"/>
            <w:vAlign w:val="center"/>
            <w:hideMark/>
          </w:tcPr>
          <w:p w14:paraId="1CC509CB" w14:textId="77777777" w:rsidR="00BE3F7A" w:rsidRDefault="00BE3F7A" w:rsidP="00BE3F7A">
            <w:pPr>
              <w:spacing w:after="0"/>
              <w:jc w:val="center"/>
              <w:rPr>
                <w:rFonts w:eastAsia="Times New Roman" w:cs="Arial"/>
                <w:b/>
                <w:bCs/>
                <w:color w:val="40434B"/>
              </w:rPr>
            </w:pPr>
            <w:r>
              <w:rPr>
                <w:rFonts w:eastAsia="Times New Roman" w:cs="Arial"/>
                <w:b/>
                <w:bCs/>
                <w:color w:val="40434B"/>
              </w:rPr>
              <w:t>Yes</w:t>
            </w:r>
          </w:p>
        </w:tc>
      </w:tr>
    </w:tbl>
    <w:p w14:paraId="695FA846" w14:textId="3639AA8D" w:rsidR="00F7081E" w:rsidRDefault="00BE3F7A" w:rsidP="00025BA7">
      <w:pPr>
        <w:pStyle w:val="TableNotes"/>
        <w:spacing w:before="120"/>
      </w:pPr>
      <w:r>
        <w:rPr>
          <w:rStyle w:val="TableNotesTitleChar"/>
        </w:rPr>
        <w:t>Notes:</w:t>
      </w:r>
      <w:r>
        <w:t xml:space="preserve"> MAGI is modified adjusted gross income and refers to those individuals whose eligibility is determined using MAGI methodologies, including children, pregnant women, parents, and non-disabled adults. Eligibility for those who are over age 65 and eligible on the basis of a disability or a need for long-term services and supports continues to be determined through pre-Patient Protection and Affordable Care Act (ACA, P.L. 111-148, as amended) methods. CHIP is State Children’s Health Insurance Program.</w:t>
      </w:r>
    </w:p>
    <w:p w14:paraId="74145FFE" w14:textId="51F23038" w:rsidR="00104E8A" w:rsidRDefault="00104E8A" w:rsidP="00104E8A">
      <w:pPr>
        <w:pStyle w:val="TableNotes"/>
        <w:spacing w:before="120"/>
      </w:pPr>
      <w:r>
        <w:rPr>
          <w:rStyle w:val="TableNotesTitleChar"/>
        </w:rPr>
        <w:t>Source:</w:t>
      </w:r>
      <w:r>
        <w:t xml:space="preserve"> CMS 2024c, 2022d.</w:t>
      </w:r>
    </w:p>
    <w:p w14:paraId="5330BC58" w14:textId="77777777" w:rsidR="00025BA7" w:rsidRDefault="00025BA7" w:rsidP="00104E8A">
      <w:pPr>
        <w:pStyle w:val="TableNotes"/>
        <w:spacing w:before="120"/>
      </w:pPr>
    </w:p>
    <w:p w14:paraId="7C274F5A" w14:textId="17E8CD87" w:rsidR="00025BA7" w:rsidRDefault="00025BA7" w:rsidP="00104E8A">
      <w:pPr>
        <w:pStyle w:val="TableNotes"/>
        <w:spacing w:before="120"/>
      </w:pPr>
    </w:p>
    <w:p w14:paraId="7B151910" w14:textId="0FB65A4F" w:rsidR="00025BA7" w:rsidRDefault="00025BA7" w:rsidP="00025BA7">
      <w:pPr>
        <w:pStyle w:val="EndnotesTitle"/>
        <w:spacing w:after="600"/>
      </w:pPr>
      <w:r>
        <w:t>Endnote</w:t>
      </w:r>
    </w:p>
    <w:p w14:paraId="736F825B" w14:textId="111DCC2E" w:rsidR="00025BA7" w:rsidRDefault="00025BA7" w:rsidP="00025BA7">
      <w:pPr>
        <w:pStyle w:val="TableNotes"/>
      </w:pPr>
      <w:r>
        <w:rPr>
          <w:vertAlign w:val="superscript"/>
        </w:rPr>
        <w:t xml:space="preserve">1 </w:t>
      </w:r>
      <w:r>
        <w:t>The performance indicator data are intended to provide consistent, monthly metrics on key Medicaid and CHIP eligibility and enrollment processes to support program monitoring. States are required to report performance indicator data for 11 topic areas as a condition of states receiving the enhanced matching rate for their information technology systems.</w:t>
      </w:r>
    </w:p>
    <w:p w14:paraId="555D65BE" w14:textId="77777777" w:rsidR="00025BA7" w:rsidRDefault="00025BA7" w:rsidP="00104E8A">
      <w:pPr>
        <w:pStyle w:val="TableNotes"/>
        <w:spacing w:before="120"/>
      </w:pPr>
    </w:p>
    <w:sectPr w:rsidR="00025BA7" w:rsidSect="007B535A">
      <w:endnotePr>
        <w:numFmt w:val="decimal"/>
      </w:endnotePr>
      <w:type w:val="continuous"/>
      <w:pgSz w:w="12240" w:h="15840"/>
      <w:pgMar w:top="1440" w:right="1080" w:bottom="1980" w:left="108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3BD9B" w14:textId="77777777" w:rsidR="00FA3709" w:rsidRDefault="00FA3709" w:rsidP="00EB3046"/>
  </w:endnote>
  <w:endnote w:type="continuationSeparator" w:id="0">
    <w:p w14:paraId="161AB546" w14:textId="77777777" w:rsidR="00FA3709" w:rsidRDefault="00FA3709" w:rsidP="00EB3046"/>
  </w:endnote>
  <w:endnote w:id="1">
    <w:p w14:paraId="179C094F" w14:textId="7F97B98C" w:rsidR="00273F83" w:rsidRDefault="00273F83" w:rsidP="003169CF">
      <w:pPr>
        <w:pStyle w:val="EndnoteText"/>
      </w:pPr>
      <w:r>
        <w:rPr>
          <w:rStyle w:val="EndnoteReference"/>
        </w:rPr>
        <w:endnoteRef/>
      </w:r>
      <w:r>
        <w:t xml:space="preserve"> </w:t>
      </w:r>
      <w:r w:rsidRPr="00CD4BF7">
        <w:t>If a state did not meet these reporting requirements, the federal matching rate w</w:t>
      </w:r>
      <w:r w:rsidR="00DD69D7">
        <w:t>ould</w:t>
      </w:r>
      <w:r w:rsidR="00D8011A">
        <w:t xml:space="preserve"> have been</w:t>
      </w:r>
      <w:r w:rsidRPr="00CD4BF7">
        <w:t xml:space="preserve"> be reduced by 0.25 percentage points for each </w:t>
      </w:r>
      <w:r w:rsidR="00F77D75">
        <w:t xml:space="preserve">fiscal </w:t>
      </w:r>
      <w:r w:rsidRPr="00CD4BF7">
        <w:t>quarter in which the state does not report between July 1, 2023 and June 30, 2024</w:t>
      </w:r>
      <w:r>
        <w:t>.</w:t>
      </w:r>
      <w:r w:rsidRPr="00CD4BF7">
        <w:t xml:space="preserve"> </w:t>
      </w:r>
      <w:r>
        <w:t>The FMAP reduction compounds, meaning that for each quarter in which the state d</w:t>
      </w:r>
      <w:r w:rsidR="00D8011A">
        <w:t>id</w:t>
      </w:r>
      <w:r>
        <w:t xml:space="preserve"> not report, their FMAP </w:t>
      </w:r>
      <w:r w:rsidR="00D8011A">
        <w:t xml:space="preserve">would have been </w:t>
      </w:r>
      <w:r>
        <w:t xml:space="preserve">reduced an additional 0.25 percentage points. The total reduction </w:t>
      </w:r>
      <w:r w:rsidR="00D8011A">
        <w:t>could not</w:t>
      </w:r>
      <w:r>
        <w:t xml:space="preserve"> exceed 1 percentage point (CMS 2023e).</w:t>
      </w:r>
    </w:p>
  </w:endnote>
  <w:endnote w:id="2">
    <w:p w14:paraId="52F336BA" w14:textId="03D837C7" w:rsidR="00273F83" w:rsidRDefault="00273F83">
      <w:pPr>
        <w:pStyle w:val="EndnoteText"/>
      </w:pPr>
      <w:r>
        <w:rPr>
          <w:rStyle w:val="EndnoteReference"/>
        </w:rPr>
        <w:endnoteRef/>
      </w:r>
      <w:r>
        <w:t xml:space="preserve"> F</w:t>
      </w:r>
      <w:r w:rsidRPr="00076064">
        <w:t xml:space="preserve">or purposes </w:t>
      </w:r>
      <w:r>
        <w:t xml:space="preserve">of measuring overall change in enrollment during this unwinding period, </w:t>
      </w:r>
      <w:r w:rsidRPr="00076064">
        <w:t xml:space="preserve">we </w:t>
      </w:r>
      <w:r>
        <w:t>compared state-level enrollment in June 2024 to the state reported baseline enrollment data</w:t>
      </w:r>
      <w:r w:rsidRPr="00076064">
        <w:t>.</w:t>
      </w:r>
      <w:r>
        <w:t xml:space="preserve"> The state baseline enrollment data are from the month prior to the state beginning redeterminations, so the baseline month varies by state.</w:t>
      </w:r>
    </w:p>
  </w:endnote>
  <w:endnote w:id="3">
    <w:p w14:paraId="6F389C8A" w14:textId="77777777" w:rsidR="00273F83" w:rsidRDefault="00273F83" w:rsidP="004515D0">
      <w:pPr>
        <w:pStyle w:val="EndnoteText"/>
      </w:pPr>
      <w:r>
        <w:rPr>
          <w:rStyle w:val="EndnoteReference"/>
        </w:rPr>
        <w:endnoteRef/>
      </w:r>
      <w:r>
        <w:t xml:space="preserve"> Under 42 CFR 435.916(2)(iii), states</w:t>
      </w:r>
      <w:r w:rsidRPr="000A66A7">
        <w:t xml:space="preserve"> must reconsider eligibility</w:t>
      </w:r>
      <w:r>
        <w:t xml:space="preserve"> for individuals eligible on the basis of modified adjusted gross income (MAGI)</w:t>
      </w:r>
      <w:r w:rsidRPr="000A66A7">
        <w:t xml:space="preserve"> without requiring the individual to </w:t>
      </w:r>
      <w:r>
        <w:t>complete</w:t>
      </w:r>
      <w:r w:rsidRPr="000A66A7">
        <w:t xml:space="preserve"> a new application if the renewal form or </w:t>
      </w:r>
      <w:r>
        <w:t xml:space="preserve">requested </w:t>
      </w:r>
      <w:r w:rsidRPr="000A66A7">
        <w:t xml:space="preserve">documentation is returned within 90 days after the </w:t>
      </w:r>
      <w:r>
        <w:t>termination date</w:t>
      </w:r>
      <w:r w:rsidRPr="000A66A7">
        <w:t xml:space="preserve">. States have the option to </w:t>
      </w:r>
      <w:r>
        <w:t>provide a reconsideration period to non-MAGI individuals and extend the reconsideration period for longer than 90 days</w:t>
      </w:r>
      <w:r w:rsidRPr="000A66A7">
        <w:t>.</w:t>
      </w:r>
    </w:p>
  </w:endnote>
  <w:endnote w:id="4">
    <w:p w14:paraId="1B934854" w14:textId="705890A1" w:rsidR="00273F83" w:rsidRDefault="00273F83" w:rsidP="004515D0">
      <w:pPr>
        <w:pStyle w:val="EndnoteText"/>
      </w:pPr>
      <w:r>
        <w:rPr>
          <w:rStyle w:val="EndnoteReference"/>
        </w:rPr>
        <w:endnoteRef/>
      </w:r>
      <w:r>
        <w:t xml:space="preserve"> </w:t>
      </w:r>
      <w:r w:rsidRPr="008572EA">
        <w:t xml:space="preserve">States are not currently required to identify reinstated cases, although nine states report some form of reinstatement data on their own dashboards. However, each differs in terms of how they define the population counted within the category as well as the timeframe. For example, Virginia reports the number of </w:t>
      </w:r>
      <w:r w:rsidRPr="00FE236A">
        <w:t xml:space="preserve">individuals who were </w:t>
      </w:r>
      <w:r w:rsidR="00FE236A" w:rsidRPr="00FE236A">
        <w:t>disenrolled</w:t>
      </w:r>
      <w:r w:rsidRPr="00FE236A">
        <w:t xml:space="preserve"> for procedural</w:t>
      </w:r>
      <w:r w:rsidRPr="008572EA">
        <w:t xml:space="preserve"> reasons and then reinstated in the one, two, or three months (Zylla and Lukanen, 2023).</w:t>
      </w:r>
    </w:p>
  </w:endnote>
  <w:endnote w:id="5">
    <w:p w14:paraId="040A5545" w14:textId="38DE0648" w:rsidR="00273F83" w:rsidRDefault="00273F83" w:rsidP="00EE0AFC">
      <w:pPr>
        <w:pStyle w:val="EndnoteText"/>
      </w:pPr>
      <w:r>
        <w:rPr>
          <w:rStyle w:val="EndnoteReference"/>
        </w:rPr>
        <w:endnoteRef/>
      </w:r>
      <w:r>
        <w:t xml:space="preserve"> </w:t>
      </w:r>
      <w:r w:rsidRPr="0039157D">
        <w:t>States initiated their first cohort of post-PHE renewals via ex parte, with most states taking between 45 and 90 days to complete renewals for a cohort</w:t>
      </w:r>
      <w:r w:rsidR="00FE236A">
        <w:t xml:space="preserve"> </w:t>
      </w:r>
      <w:r w:rsidRPr="0039157D">
        <w:t>(CMS 2023</w:t>
      </w:r>
      <w:r>
        <w:t>g</w:t>
      </w:r>
      <w:r w:rsidRPr="0039157D">
        <w:t>).</w:t>
      </w:r>
    </w:p>
  </w:endnote>
  <w:endnote w:id="6">
    <w:p w14:paraId="2AE0FA29" w14:textId="1EE5F97A" w:rsidR="00273F83" w:rsidRDefault="00273F83" w:rsidP="00FA0702">
      <w:pPr>
        <w:pStyle w:val="EndnoteText"/>
      </w:pPr>
      <w:r>
        <w:rPr>
          <w:rStyle w:val="EndnoteReference"/>
        </w:rPr>
        <w:endnoteRef/>
      </w:r>
      <w:r>
        <w:t xml:space="preserve"> </w:t>
      </w:r>
      <w:r w:rsidR="00FE236A">
        <w:t>T</w:t>
      </w:r>
      <w:r w:rsidRPr="00DE59D7">
        <w:t xml:space="preserve">he </w:t>
      </w:r>
      <w:r>
        <w:t>FFM</w:t>
      </w:r>
      <w:r w:rsidRPr="00DE59D7">
        <w:t xml:space="preserve"> is unable to report whether a consumer lost Medicaid or CHIP until a few months following the coverage loss date. As such, data on individuals transitioning from Medicaid or CHIP to the federal </w:t>
      </w:r>
      <w:r>
        <w:t>marketplace</w:t>
      </w:r>
      <w:r w:rsidRPr="00DE59D7">
        <w:t xml:space="preserve"> is available later than data on renewals or early </w:t>
      </w:r>
      <w:r>
        <w:t>marketplace</w:t>
      </w:r>
      <w:r w:rsidRPr="00DE59D7">
        <w:t xml:space="preserve"> </w:t>
      </w:r>
      <w:r w:rsidRPr="00E96168">
        <w:t>data (CMS 2023</w:t>
      </w:r>
      <w:r>
        <w:t>g</w:t>
      </w:r>
      <w:r w:rsidRPr="00E96168">
        <w:t>).</w:t>
      </w:r>
    </w:p>
  </w:endnote>
  <w:endnote w:id="7">
    <w:p w14:paraId="6C990CC4" w14:textId="514331FA" w:rsidR="00273F83" w:rsidRDefault="00273F83">
      <w:pPr>
        <w:pStyle w:val="EndnoteText"/>
      </w:pPr>
      <w:r>
        <w:rPr>
          <w:rStyle w:val="EndnoteReference"/>
        </w:rPr>
        <w:endnoteRef/>
      </w:r>
      <w:r>
        <w:t xml:space="preserve"> Individuals who are considered eligible for marketplace coverage</w:t>
      </w:r>
      <w:r w:rsidRPr="00BB38BD">
        <w:t xml:space="preserve"> are individuals who applied for </w:t>
      </w:r>
      <w:r>
        <w:t>marketplace</w:t>
      </w:r>
      <w:r w:rsidRPr="00BB38BD">
        <w:t xml:space="preserve"> coverage and were not determined Medicaid</w:t>
      </w:r>
      <w:r w:rsidR="009E46C2">
        <w:t xml:space="preserve"> or </w:t>
      </w:r>
      <w:r w:rsidRPr="00BB38BD">
        <w:t>CHIP-eligible or potentially Medicaid</w:t>
      </w:r>
      <w:r w:rsidR="009E46C2">
        <w:t xml:space="preserve"> or </w:t>
      </w:r>
      <w:r w:rsidRPr="00BB38BD">
        <w:t xml:space="preserve">CHIP-eligible by the </w:t>
      </w:r>
      <w:r>
        <w:t>marketplace</w:t>
      </w:r>
      <w:r w:rsidRPr="00BB38BD">
        <w:t>. Those who are determined Medicaid</w:t>
      </w:r>
      <w:r w:rsidR="009E46C2">
        <w:t xml:space="preserve"> or </w:t>
      </w:r>
      <w:r w:rsidRPr="00BB38BD">
        <w:t xml:space="preserve">CHIP-eligible or potentially eligible by the </w:t>
      </w:r>
      <w:r>
        <w:t>marketplace</w:t>
      </w:r>
      <w:r w:rsidRPr="00BB38BD">
        <w:t xml:space="preserve"> must have their account transferred back to the state Medicaid or CHIP agency (45 CFR 155.302(b), 45 CFR 155.302(c), 45 CFR 155.345)</w:t>
      </w:r>
      <w:r>
        <w:t xml:space="preserve"> (CMS 2024g)</w:t>
      </w:r>
      <w:r w:rsidRPr="00BB38BD">
        <w:t>.</w:t>
      </w:r>
    </w:p>
  </w:endnote>
  <w:endnote w:id="8">
    <w:p w14:paraId="013D8BA8" w14:textId="253F0AD8" w:rsidR="003B31B3" w:rsidRDefault="00273F83" w:rsidP="00C20C66">
      <w:pPr>
        <w:pStyle w:val="EndnoteText"/>
      </w:pPr>
      <w:r>
        <w:rPr>
          <w:rStyle w:val="EndnoteReference"/>
        </w:rPr>
        <w:endnoteRef/>
      </w:r>
      <w:r>
        <w:t xml:space="preserve"> </w:t>
      </w:r>
      <w:r w:rsidRPr="004E5C29">
        <w:t xml:space="preserve">CMS sent letters with state-specific data and noted the agency’s concerns where states may be out of compliance or lagging in particular areas, including for 16 states with concerns regarding call center wait times and abandonment rates. The letters also noted the importance of call centers in providing support for completing renewals and applications and that excessive wait times and abandonment rates may indicate barriers. CMS recommended that states review call center data and operations and adopt strategies such as hiring additional staff, contracting with vendors for additional services, extending call center hours, automating systems to triage calls, or implementing callback </w:t>
      </w:r>
      <w:r w:rsidRPr="002528E5">
        <w:t>options (CMS 2023</w:t>
      </w:r>
      <w:r>
        <w:t>d</w:t>
      </w:r>
      <w:r w:rsidRPr="002528E5">
        <w:t>)</w:t>
      </w:r>
      <w:r>
        <w:t>.</w:t>
      </w:r>
    </w:p>
  </w:endnote>
  <w:endnote w:id="9">
    <w:p w14:paraId="69BA2E6B" w14:textId="18EA1681" w:rsidR="00273F83" w:rsidRDefault="00273F83" w:rsidP="003B31B3">
      <w:pPr>
        <w:pStyle w:val="EndnoteReferencesText"/>
      </w:pPr>
      <w:r>
        <w:rPr>
          <w:rStyle w:val="EndnoteReference"/>
        </w:rPr>
        <w:endnoteRef/>
      </w:r>
      <w:r>
        <w:t xml:space="preserve"> </w:t>
      </w:r>
      <w:r w:rsidRPr="00AA7DF6">
        <w:t>In the August 2023 letter to states, CMS also noted the requirement to comply with application processing timelines, noting this as a concern to 16 states. CMS acknowledged that application processing time may increase during the unwinding period due to pending applications that state agencies must also process and increased application volume associated with disenrolled individuals that have submitted new applications</w:t>
      </w:r>
      <w:r>
        <w:t xml:space="preserve"> (CMS 2023b).</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Roboto Regular">
    <w:altName w:val="Arial"/>
    <w:charset w:val="00"/>
    <w:family w:val="auto"/>
    <w:pitch w:val="variable"/>
    <w:sig w:usb0="E00002FF" w:usb1="5000205B" w:usb2="00000020" w:usb3="00000000" w:csb0="0000019F"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05C9F" w14:textId="77777777" w:rsidR="00823AAF" w:rsidRDefault="00823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11019" w14:textId="77777777" w:rsidR="00273F83" w:rsidRPr="001F29E1" w:rsidRDefault="00273F83" w:rsidP="00EB3046">
    <w:pPr>
      <w:pStyle w:val="Footer"/>
      <w:rPr>
        <w:rStyle w:val="Hyperlink"/>
        <w:color w:val="40434B"/>
        <w:sz w:val="18"/>
        <w:szCs w:val="18"/>
      </w:rPr>
    </w:pPr>
    <w:r>
      <w:rPr>
        <w:noProof/>
      </w:rPr>
      <w:drawing>
        <wp:anchor distT="0" distB="0" distL="114300" distR="114300" simplePos="0" relativeHeight="251664384" behindDoc="1" locked="0" layoutInCell="1" allowOverlap="1" wp14:anchorId="17528F32" wp14:editId="554C28FC">
          <wp:simplePos x="0" y="0"/>
          <wp:positionH relativeFrom="page">
            <wp:posOffset>0</wp:posOffset>
          </wp:positionH>
          <wp:positionV relativeFrom="page">
            <wp:posOffset>8661400</wp:posOffset>
          </wp:positionV>
          <wp:extent cx="7824214" cy="1380743"/>
          <wp:effectExtent l="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_FOOTER.png"/>
                  <pic:cNvPicPr/>
                </pic:nvPicPr>
                <pic:blipFill>
                  <a:blip r:embed="rId1"/>
                  <a:stretch>
                    <a:fillRect/>
                  </a:stretch>
                </pic:blipFill>
                <pic:spPr>
                  <a:xfrm>
                    <a:off x="0" y="0"/>
                    <a:ext cx="7824214" cy="1380743"/>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679F7" w14:textId="77777777" w:rsidR="00273F83" w:rsidRPr="0079447F" w:rsidRDefault="00273F83" w:rsidP="00EB3046">
    <w:pPr>
      <w:pStyle w:val="Footer"/>
    </w:pPr>
    <w:r>
      <w:rPr>
        <w:noProof/>
      </w:rPr>
      <w:drawing>
        <wp:anchor distT="0" distB="0" distL="114300" distR="114300" simplePos="0" relativeHeight="251663360" behindDoc="1" locked="0" layoutInCell="1" allowOverlap="1" wp14:anchorId="32657968" wp14:editId="79EF6537">
          <wp:simplePos x="0" y="0"/>
          <wp:positionH relativeFrom="page">
            <wp:posOffset>0</wp:posOffset>
          </wp:positionH>
          <wp:positionV relativeFrom="page">
            <wp:posOffset>8686800</wp:posOffset>
          </wp:positionV>
          <wp:extent cx="7824215" cy="1380743"/>
          <wp:effectExtent l="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_footer.png"/>
                  <pic:cNvPicPr/>
                </pic:nvPicPr>
                <pic:blipFill>
                  <a:blip r:embed="rId1"/>
                  <a:stretch>
                    <a:fillRect/>
                  </a:stretch>
                </pic:blipFill>
                <pic:spPr>
                  <a:xfrm>
                    <a:off x="0" y="0"/>
                    <a:ext cx="7824215" cy="1380743"/>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EE477" w14:textId="77777777" w:rsidR="00FA3709" w:rsidRDefault="00FA3709" w:rsidP="00EB3046">
      <w:r>
        <w:separator/>
      </w:r>
    </w:p>
  </w:footnote>
  <w:footnote w:type="continuationSeparator" w:id="0">
    <w:p w14:paraId="134D7F92" w14:textId="77777777" w:rsidR="00FA3709" w:rsidRDefault="00FA3709"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BA3B9" w14:textId="77777777" w:rsidR="00273F83" w:rsidRDefault="00273F83" w:rsidP="00EB3046">
    <w:pPr>
      <w:pStyle w:val="Header"/>
    </w:pPr>
    <w:r>
      <w:rPr>
        <w:noProof/>
      </w:rPr>
      <w:drawing>
        <wp:anchor distT="0" distB="0" distL="114300" distR="114300" simplePos="0" relativeHeight="251662336" behindDoc="1" locked="0" layoutInCell="1" allowOverlap="1" wp14:anchorId="5910FB9C" wp14:editId="7B917C18">
          <wp:simplePos x="0" y="0"/>
          <wp:positionH relativeFrom="page">
            <wp:posOffset>-25400</wp:posOffset>
          </wp:positionH>
          <wp:positionV relativeFrom="page">
            <wp:posOffset>-12700</wp:posOffset>
          </wp:positionV>
          <wp:extent cx="7763256" cy="10040112"/>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14:paraId="1844EE64" w14:textId="77777777" w:rsidR="00273F83" w:rsidRPr="001F29E1" w:rsidRDefault="00273F83" w:rsidP="00EB3046">
    <w:pPr>
      <w:pStyle w:val="Header"/>
    </w:pPr>
    <w:r>
      <w:fldChar w:fldCharType="begin"/>
    </w:r>
    <w:r>
      <w:instrText xml:space="preserve"> PAGE   \* MERGEFORMAT </w:instrText>
    </w:r>
    <w:r>
      <w:fldChar w:fldCharType="separate"/>
    </w:r>
    <w:r>
      <w:rPr>
        <w:noProof/>
      </w:rPr>
      <w:t>2</w:t>
    </w:r>
    <w:r>
      <w:rPr>
        <w:noProof/>
      </w:rPr>
      <w:fldChar w:fldCharType="end"/>
    </w:r>
  </w:p>
  <w:p w14:paraId="277A214F" w14:textId="77777777" w:rsidR="00273F83" w:rsidRDefault="00273F83" w:rsidP="00EB3046"/>
  <w:p w14:paraId="135CA945" w14:textId="77777777" w:rsidR="00273F83" w:rsidRDefault="00273F83"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502364"/>
      <w:docPartObj>
        <w:docPartGallery w:val="Page Numbers (Top of Page)"/>
        <w:docPartUnique/>
      </w:docPartObj>
    </w:sdtPr>
    <w:sdtEndPr>
      <w:rPr>
        <w:noProof/>
      </w:rPr>
    </w:sdtEndPr>
    <w:sdtContent>
      <w:p w14:paraId="14001C76" w14:textId="77777777" w:rsidR="00273F83" w:rsidRDefault="00273F8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5093BC" w14:textId="77777777" w:rsidR="00273F83" w:rsidRDefault="00273F83" w:rsidP="007F618D">
    <w:pPr>
      <w:pStyle w:val="Header"/>
      <w:tabs>
        <w:tab w:val="clear" w:pos="4320"/>
        <w:tab w:val="clear" w:pos="8640"/>
        <w:tab w:val="left" w:pos="44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A7F1C" w14:textId="77777777" w:rsidR="00273F83" w:rsidRDefault="00273F83" w:rsidP="00EB3046">
    <w:pPr>
      <w:pStyle w:val="Header"/>
    </w:pPr>
    <w:r>
      <w:rPr>
        <w:noProof/>
      </w:rPr>
      <w:drawing>
        <wp:anchor distT="0" distB="0" distL="114300" distR="114300" simplePos="0" relativeHeight="251665408" behindDoc="1" locked="0" layoutInCell="1" allowOverlap="1" wp14:anchorId="65CD31BF" wp14:editId="0BFA634D">
          <wp:simplePos x="0" y="0"/>
          <wp:positionH relativeFrom="column">
            <wp:posOffset>60325</wp:posOffset>
          </wp:positionH>
          <wp:positionV relativeFrom="paragraph">
            <wp:posOffset>-13970</wp:posOffset>
          </wp:positionV>
          <wp:extent cx="1631950" cy="344805"/>
          <wp:effectExtent l="0" t="0" r="6350" b="0"/>
          <wp:wrapTight wrapText="bothSides">
            <wp:wrapPolygon edited="0">
              <wp:start x="0" y="0"/>
              <wp:lineTo x="0" y="20287"/>
              <wp:lineTo x="21432" y="20287"/>
              <wp:lineTo x="2143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UE BRIEF-01.png"/>
                  <pic:cNvPicPr/>
                </pic:nvPicPr>
                <pic:blipFill>
                  <a:blip r:embed="rId1"/>
                  <a:stretch>
                    <a:fillRect/>
                  </a:stretch>
                </pic:blipFill>
                <pic:spPr>
                  <a:xfrm>
                    <a:off x="0" y="0"/>
                    <a:ext cx="1631950" cy="3448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1FC03E91" wp14:editId="2D2CFFFE">
          <wp:simplePos x="0" y="0"/>
          <wp:positionH relativeFrom="column">
            <wp:posOffset>4489450</wp:posOffset>
          </wp:positionH>
          <wp:positionV relativeFrom="paragraph">
            <wp:posOffset>-136525</wp:posOffset>
          </wp:positionV>
          <wp:extent cx="1868170" cy="539115"/>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2">
                    <a:extLst>
                      <a:ext uri="{28A0092B-C50C-407E-A947-70E740481C1C}">
                        <a14:useLocalDpi xmlns:a14="http://schemas.microsoft.com/office/drawing/2010/main" val="0"/>
                      </a:ext>
                    </a:extLst>
                  </a:blip>
                  <a:stretch>
                    <a:fillRect/>
                  </a:stretch>
                </pic:blipFill>
                <pic:spPr>
                  <a:xfrm>
                    <a:off x="0" y="0"/>
                    <a:ext cx="1868170" cy="539115"/>
                  </a:xfrm>
                  <a:prstGeom prst="rect">
                    <a:avLst/>
                  </a:prstGeom>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88E6ABE"/>
    <w:multiLevelType w:val="hybridMultilevel"/>
    <w:tmpl w:val="6FDC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625065"/>
    <w:multiLevelType w:val="multilevel"/>
    <w:tmpl w:val="0A62B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BCF04D1"/>
    <w:multiLevelType w:val="multilevel"/>
    <w:tmpl w:val="38E63A52"/>
    <w:numStyleLink w:val="MACPACLISTSTYLE"/>
  </w:abstractNum>
  <w:abstractNum w:abstractNumId="6"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2B0213F"/>
    <w:multiLevelType w:val="multilevel"/>
    <w:tmpl w:val="61069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7A85785"/>
    <w:multiLevelType w:val="multilevel"/>
    <w:tmpl w:val="38E63A52"/>
    <w:numStyleLink w:val="MACPACLISTSTYLE"/>
  </w:abstractNum>
  <w:abstractNum w:abstractNumId="12"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176CC8"/>
    <w:multiLevelType w:val="hybridMultilevel"/>
    <w:tmpl w:val="6F9E8274"/>
    <w:lvl w:ilvl="0" w:tplc="1E6805D8">
      <w:start w:val="20"/>
      <w:numFmt w:val="bullet"/>
      <w:lvlText w:val=""/>
      <w:lvlJc w:val="left"/>
      <w:pPr>
        <w:ind w:left="720" w:hanging="360"/>
      </w:pPr>
      <w:rPr>
        <w:rFonts w:ascii="Symbol" w:eastAsia="MS Gothic" w:hAnsi="Symbol" w:cstheme="majorBidi" w:hint="default"/>
        <w:b/>
        <w:color w:val="00346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1"/>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4"/>
  </w:num>
  <w:num w:numId="33">
    <w:abstractNumId w:val="5"/>
  </w:num>
  <w:num w:numId="34">
    <w:abstractNumId w:val="5"/>
  </w:num>
  <w:num w:numId="35">
    <w:abstractNumId w:val="10"/>
  </w:num>
  <w:num w:numId="36">
    <w:abstractNumId w:val="7"/>
  </w:num>
  <w:num w:numId="37">
    <w:abstractNumId w:val="13"/>
  </w:num>
  <w:num w:numId="38">
    <w:abstractNumId w:val="2"/>
  </w:num>
  <w:num w:numId="39">
    <w:abstractNumId w:val="6"/>
  </w:num>
  <w:num w:numId="40">
    <w:abstractNumId w:val="8"/>
  </w:num>
  <w:num w:numId="41">
    <w:abstractNumId w:val="12"/>
  </w:num>
  <w:num w:numId="42">
    <w:abstractNumId w:val="9"/>
  </w:num>
  <w:num w:numId="43">
    <w:abstractNumId w:val="14"/>
  </w:num>
  <w:num w:numId="44">
    <w:abstractNumId w:val="1"/>
  </w:num>
  <w:num w:numId="4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4B8"/>
    <w:rsid w:val="000055C5"/>
    <w:rsid w:val="000059EC"/>
    <w:rsid w:val="00005F9E"/>
    <w:rsid w:val="00007EA6"/>
    <w:rsid w:val="0001447E"/>
    <w:rsid w:val="00014658"/>
    <w:rsid w:val="00017CC1"/>
    <w:rsid w:val="0002044A"/>
    <w:rsid w:val="00020851"/>
    <w:rsid w:val="000224A7"/>
    <w:rsid w:val="00023C24"/>
    <w:rsid w:val="00024E76"/>
    <w:rsid w:val="00025BA7"/>
    <w:rsid w:val="00027ADF"/>
    <w:rsid w:val="00035958"/>
    <w:rsid w:val="00042951"/>
    <w:rsid w:val="00043E78"/>
    <w:rsid w:val="0004798B"/>
    <w:rsid w:val="0005142D"/>
    <w:rsid w:val="00055B9A"/>
    <w:rsid w:val="00056617"/>
    <w:rsid w:val="0006387D"/>
    <w:rsid w:val="000649AD"/>
    <w:rsid w:val="000670AE"/>
    <w:rsid w:val="000745F5"/>
    <w:rsid w:val="00076064"/>
    <w:rsid w:val="00077D60"/>
    <w:rsid w:val="0008014E"/>
    <w:rsid w:val="00080478"/>
    <w:rsid w:val="00082C11"/>
    <w:rsid w:val="00083B99"/>
    <w:rsid w:val="00083E30"/>
    <w:rsid w:val="0008469F"/>
    <w:rsid w:val="0008580E"/>
    <w:rsid w:val="00085826"/>
    <w:rsid w:val="00087B4E"/>
    <w:rsid w:val="00094184"/>
    <w:rsid w:val="00096669"/>
    <w:rsid w:val="000A0FDA"/>
    <w:rsid w:val="000A29E8"/>
    <w:rsid w:val="000A3613"/>
    <w:rsid w:val="000A6370"/>
    <w:rsid w:val="000A7652"/>
    <w:rsid w:val="000B26E5"/>
    <w:rsid w:val="000B5CC5"/>
    <w:rsid w:val="000B64A7"/>
    <w:rsid w:val="000C35EA"/>
    <w:rsid w:val="000C4D7A"/>
    <w:rsid w:val="000C5158"/>
    <w:rsid w:val="000D1AA7"/>
    <w:rsid w:val="000D1B99"/>
    <w:rsid w:val="000E043B"/>
    <w:rsid w:val="000E64A1"/>
    <w:rsid w:val="000F146C"/>
    <w:rsid w:val="000F30A7"/>
    <w:rsid w:val="000F45D3"/>
    <w:rsid w:val="00101265"/>
    <w:rsid w:val="00102238"/>
    <w:rsid w:val="00102FFE"/>
    <w:rsid w:val="00104E8A"/>
    <w:rsid w:val="001116FB"/>
    <w:rsid w:val="00114ACB"/>
    <w:rsid w:val="001165FA"/>
    <w:rsid w:val="001168D9"/>
    <w:rsid w:val="0012392B"/>
    <w:rsid w:val="00131A1A"/>
    <w:rsid w:val="00133683"/>
    <w:rsid w:val="00135627"/>
    <w:rsid w:val="00142D86"/>
    <w:rsid w:val="001433D4"/>
    <w:rsid w:val="001469C8"/>
    <w:rsid w:val="00153E07"/>
    <w:rsid w:val="001541F1"/>
    <w:rsid w:val="001569FE"/>
    <w:rsid w:val="00156C0F"/>
    <w:rsid w:val="00160138"/>
    <w:rsid w:val="00161D1E"/>
    <w:rsid w:val="001720C7"/>
    <w:rsid w:val="00172DDB"/>
    <w:rsid w:val="00184090"/>
    <w:rsid w:val="00186B7D"/>
    <w:rsid w:val="00196E66"/>
    <w:rsid w:val="00197872"/>
    <w:rsid w:val="001A19AF"/>
    <w:rsid w:val="001A4150"/>
    <w:rsid w:val="001B0457"/>
    <w:rsid w:val="001B22A1"/>
    <w:rsid w:val="001C133D"/>
    <w:rsid w:val="001C2C9C"/>
    <w:rsid w:val="001C2F9C"/>
    <w:rsid w:val="001D1A3F"/>
    <w:rsid w:val="001D1E11"/>
    <w:rsid w:val="001D323C"/>
    <w:rsid w:val="001D55BC"/>
    <w:rsid w:val="001D71A0"/>
    <w:rsid w:val="001E25B1"/>
    <w:rsid w:val="001E37FC"/>
    <w:rsid w:val="001E46E6"/>
    <w:rsid w:val="001F0D18"/>
    <w:rsid w:val="001F29E1"/>
    <w:rsid w:val="001F7F9E"/>
    <w:rsid w:val="002050C4"/>
    <w:rsid w:val="00205145"/>
    <w:rsid w:val="0020641A"/>
    <w:rsid w:val="002076E4"/>
    <w:rsid w:val="00211395"/>
    <w:rsid w:val="00213B08"/>
    <w:rsid w:val="00216F68"/>
    <w:rsid w:val="00220AFA"/>
    <w:rsid w:val="00222203"/>
    <w:rsid w:val="002222E0"/>
    <w:rsid w:val="002225C2"/>
    <w:rsid w:val="00222BAB"/>
    <w:rsid w:val="002261D6"/>
    <w:rsid w:val="00237287"/>
    <w:rsid w:val="00237AA8"/>
    <w:rsid w:val="002463FF"/>
    <w:rsid w:val="002476A4"/>
    <w:rsid w:val="00247E62"/>
    <w:rsid w:val="002502DB"/>
    <w:rsid w:val="00273F83"/>
    <w:rsid w:val="002747F0"/>
    <w:rsid w:val="00275AEA"/>
    <w:rsid w:val="002839A8"/>
    <w:rsid w:val="002847AA"/>
    <w:rsid w:val="00292E00"/>
    <w:rsid w:val="00294B25"/>
    <w:rsid w:val="002A7082"/>
    <w:rsid w:val="002A70D1"/>
    <w:rsid w:val="002B51D6"/>
    <w:rsid w:val="002B62EB"/>
    <w:rsid w:val="002C5950"/>
    <w:rsid w:val="002D2425"/>
    <w:rsid w:val="002D2785"/>
    <w:rsid w:val="002D282F"/>
    <w:rsid w:val="002D333D"/>
    <w:rsid w:val="002D3BA5"/>
    <w:rsid w:val="002D6423"/>
    <w:rsid w:val="002E0B6C"/>
    <w:rsid w:val="002E37A4"/>
    <w:rsid w:val="002E47F9"/>
    <w:rsid w:val="002E5F62"/>
    <w:rsid w:val="002E6055"/>
    <w:rsid w:val="002E6607"/>
    <w:rsid w:val="002F15E8"/>
    <w:rsid w:val="002F4297"/>
    <w:rsid w:val="002F47E2"/>
    <w:rsid w:val="002F7AAB"/>
    <w:rsid w:val="00300325"/>
    <w:rsid w:val="003034E1"/>
    <w:rsid w:val="003103E4"/>
    <w:rsid w:val="00311528"/>
    <w:rsid w:val="00313C83"/>
    <w:rsid w:val="00314004"/>
    <w:rsid w:val="003168BA"/>
    <w:rsid w:val="003169CD"/>
    <w:rsid w:val="003169CF"/>
    <w:rsid w:val="003170C9"/>
    <w:rsid w:val="00325DF6"/>
    <w:rsid w:val="00330AFA"/>
    <w:rsid w:val="00334A1E"/>
    <w:rsid w:val="0034470C"/>
    <w:rsid w:val="00350635"/>
    <w:rsid w:val="00350F28"/>
    <w:rsid w:val="0035118A"/>
    <w:rsid w:val="00352373"/>
    <w:rsid w:val="00357336"/>
    <w:rsid w:val="00362B1D"/>
    <w:rsid w:val="0036492E"/>
    <w:rsid w:val="00372FA9"/>
    <w:rsid w:val="00377F93"/>
    <w:rsid w:val="00383244"/>
    <w:rsid w:val="003842B0"/>
    <w:rsid w:val="003844D3"/>
    <w:rsid w:val="00391123"/>
    <w:rsid w:val="00392C33"/>
    <w:rsid w:val="00394674"/>
    <w:rsid w:val="003970DF"/>
    <w:rsid w:val="003A42C7"/>
    <w:rsid w:val="003A4685"/>
    <w:rsid w:val="003B013F"/>
    <w:rsid w:val="003B31B3"/>
    <w:rsid w:val="003C3B4F"/>
    <w:rsid w:val="003C7B38"/>
    <w:rsid w:val="003D0378"/>
    <w:rsid w:val="003D6CCD"/>
    <w:rsid w:val="003D7595"/>
    <w:rsid w:val="003E2D4A"/>
    <w:rsid w:val="003F1259"/>
    <w:rsid w:val="003F1735"/>
    <w:rsid w:val="003F3B74"/>
    <w:rsid w:val="003F508B"/>
    <w:rsid w:val="00406541"/>
    <w:rsid w:val="00406CA6"/>
    <w:rsid w:val="00413797"/>
    <w:rsid w:val="00413EA8"/>
    <w:rsid w:val="00420428"/>
    <w:rsid w:val="00424ED5"/>
    <w:rsid w:val="00424EDA"/>
    <w:rsid w:val="00426903"/>
    <w:rsid w:val="004277D6"/>
    <w:rsid w:val="00427EDD"/>
    <w:rsid w:val="00431BF4"/>
    <w:rsid w:val="00431C1E"/>
    <w:rsid w:val="00432DD7"/>
    <w:rsid w:val="00435EEF"/>
    <w:rsid w:val="00440B14"/>
    <w:rsid w:val="004412C8"/>
    <w:rsid w:val="004414F1"/>
    <w:rsid w:val="0044201A"/>
    <w:rsid w:val="00445B93"/>
    <w:rsid w:val="00447DEA"/>
    <w:rsid w:val="004515D0"/>
    <w:rsid w:val="00455B70"/>
    <w:rsid w:val="00471C4A"/>
    <w:rsid w:val="00480709"/>
    <w:rsid w:val="0048584C"/>
    <w:rsid w:val="00485A1D"/>
    <w:rsid w:val="004877D9"/>
    <w:rsid w:val="00487EC6"/>
    <w:rsid w:val="00496681"/>
    <w:rsid w:val="004A2628"/>
    <w:rsid w:val="004A4C77"/>
    <w:rsid w:val="004A5235"/>
    <w:rsid w:val="004A6894"/>
    <w:rsid w:val="004A6E4D"/>
    <w:rsid w:val="004A7E44"/>
    <w:rsid w:val="004B31DB"/>
    <w:rsid w:val="004B5A1C"/>
    <w:rsid w:val="004C1187"/>
    <w:rsid w:val="004C1386"/>
    <w:rsid w:val="004D16E1"/>
    <w:rsid w:val="004D172A"/>
    <w:rsid w:val="004D270D"/>
    <w:rsid w:val="004D6652"/>
    <w:rsid w:val="004E0659"/>
    <w:rsid w:val="004E21F5"/>
    <w:rsid w:val="004F020B"/>
    <w:rsid w:val="004F07DD"/>
    <w:rsid w:val="00500895"/>
    <w:rsid w:val="00510F2B"/>
    <w:rsid w:val="0051102C"/>
    <w:rsid w:val="005118E6"/>
    <w:rsid w:val="0051471E"/>
    <w:rsid w:val="00514BD2"/>
    <w:rsid w:val="00517B93"/>
    <w:rsid w:val="00527B75"/>
    <w:rsid w:val="00530432"/>
    <w:rsid w:val="005345BE"/>
    <w:rsid w:val="00537CAA"/>
    <w:rsid w:val="00537F90"/>
    <w:rsid w:val="00544F88"/>
    <w:rsid w:val="005472BC"/>
    <w:rsid w:val="005477D7"/>
    <w:rsid w:val="00555F13"/>
    <w:rsid w:val="0055796B"/>
    <w:rsid w:val="0056550E"/>
    <w:rsid w:val="005655F3"/>
    <w:rsid w:val="005662D0"/>
    <w:rsid w:val="00566FE5"/>
    <w:rsid w:val="005851AA"/>
    <w:rsid w:val="00587351"/>
    <w:rsid w:val="00587E07"/>
    <w:rsid w:val="00596AA3"/>
    <w:rsid w:val="005A0AC0"/>
    <w:rsid w:val="005A1EFC"/>
    <w:rsid w:val="005A3F0E"/>
    <w:rsid w:val="005A5662"/>
    <w:rsid w:val="005B014F"/>
    <w:rsid w:val="005B01E1"/>
    <w:rsid w:val="005B203D"/>
    <w:rsid w:val="005B5ABB"/>
    <w:rsid w:val="005B6B2B"/>
    <w:rsid w:val="005B72F7"/>
    <w:rsid w:val="005C0E81"/>
    <w:rsid w:val="005C0EF7"/>
    <w:rsid w:val="005C3D1B"/>
    <w:rsid w:val="005C55C0"/>
    <w:rsid w:val="005C5E00"/>
    <w:rsid w:val="005C670F"/>
    <w:rsid w:val="005D0107"/>
    <w:rsid w:val="005D0B52"/>
    <w:rsid w:val="005D0F5B"/>
    <w:rsid w:val="005D1A7A"/>
    <w:rsid w:val="005D1B21"/>
    <w:rsid w:val="005D1F2F"/>
    <w:rsid w:val="005D3DD0"/>
    <w:rsid w:val="005D4748"/>
    <w:rsid w:val="005D7964"/>
    <w:rsid w:val="005E012D"/>
    <w:rsid w:val="005E0FA2"/>
    <w:rsid w:val="005E66FE"/>
    <w:rsid w:val="005F675D"/>
    <w:rsid w:val="0060027E"/>
    <w:rsid w:val="00602457"/>
    <w:rsid w:val="0060745D"/>
    <w:rsid w:val="0061218B"/>
    <w:rsid w:val="00614748"/>
    <w:rsid w:val="0061635C"/>
    <w:rsid w:val="006178CA"/>
    <w:rsid w:val="00627BD8"/>
    <w:rsid w:val="00630EFF"/>
    <w:rsid w:val="00632D5D"/>
    <w:rsid w:val="0063399A"/>
    <w:rsid w:val="006341A1"/>
    <w:rsid w:val="0064013A"/>
    <w:rsid w:val="00643CBC"/>
    <w:rsid w:val="00645E7A"/>
    <w:rsid w:val="006617DC"/>
    <w:rsid w:val="00664BC4"/>
    <w:rsid w:val="0067468F"/>
    <w:rsid w:val="0067789D"/>
    <w:rsid w:val="006804A1"/>
    <w:rsid w:val="00682B43"/>
    <w:rsid w:val="006831B7"/>
    <w:rsid w:val="006844D2"/>
    <w:rsid w:val="006916D5"/>
    <w:rsid w:val="00692F96"/>
    <w:rsid w:val="006A4314"/>
    <w:rsid w:val="006A45CC"/>
    <w:rsid w:val="006A4B78"/>
    <w:rsid w:val="006A6A53"/>
    <w:rsid w:val="006B106E"/>
    <w:rsid w:val="006B174B"/>
    <w:rsid w:val="006B5666"/>
    <w:rsid w:val="006C11A4"/>
    <w:rsid w:val="006C4EEF"/>
    <w:rsid w:val="006C74B4"/>
    <w:rsid w:val="006D192A"/>
    <w:rsid w:val="006D2CE0"/>
    <w:rsid w:val="006D3935"/>
    <w:rsid w:val="006D5B30"/>
    <w:rsid w:val="006D658C"/>
    <w:rsid w:val="006D6B1F"/>
    <w:rsid w:val="006E0A0F"/>
    <w:rsid w:val="006E36D6"/>
    <w:rsid w:val="006E46DB"/>
    <w:rsid w:val="006E48BF"/>
    <w:rsid w:val="006F32F1"/>
    <w:rsid w:val="006F3458"/>
    <w:rsid w:val="007061DA"/>
    <w:rsid w:val="0071212D"/>
    <w:rsid w:val="007123B2"/>
    <w:rsid w:val="00721E58"/>
    <w:rsid w:val="00725C97"/>
    <w:rsid w:val="00730241"/>
    <w:rsid w:val="007307C8"/>
    <w:rsid w:val="00741234"/>
    <w:rsid w:val="007429BF"/>
    <w:rsid w:val="007439C3"/>
    <w:rsid w:val="00744EAB"/>
    <w:rsid w:val="00752710"/>
    <w:rsid w:val="00755868"/>
    <w:rsid w:val="00761E09"/>
    <w:rsid w:val="007658F8"/>
    <w:rsid w:val="00770C9B"/>
    <w:rsid w:val="00771B35"/>
    <w:rsid w:val="00771D76"/>
    <w:rsid w:val="00772853"/>
    <w:rsid w:val="00774AF4"/>
    <w:rsid w:val="00774DEE"/>
    <w:rsid w:val="0078070B"/>
    <w:rsid w:val="00781591"/>
    <w:rsid w:val="007821F1"/>
    <w:rsid w:val="0078254E"/>
    <w:rsid w:val="007869F6"/>
    <w:rsid w:val="00787183"/>
    <w:rsid w:val="007877C4"/>
    <w:rsid w:val="00790110"/>
    <w:rsid w:val="00793073"/>
    <w:rsid w:val="007932C8"/>
    <w:rsid w:val="0079447F"/>
    <w:rsid w:val="00797BB6"/>
    <w:rsid w:val="007A553F"/>
    <w:rsid w:val="007A66FD"/>
    <w:rsid w:val="007A6967"/>
    <w:rsid w:val="007A6D63"/>
    <w:rsid w:val="007B535A"/>
    <w:rsid w:val="007C107F"/>
    <w:rsid w:val="007C19ED"/>
    <w:rsid w:val="007C2184"/>
    <w:rsid w:val="007C36AE"/>
    <w:rsid w:val="007D0DAD"/>
    <w:rsid w:val="007D7202"/>
    <w:rsid w:val="007F618D"/>
    <w:rsid w:val="007F6C90"/>
    <w:rsid w:val="008034D3"/>
    <w:rsid w:val="008058BF"/>
    <w:rsid w:val="00812912"/>
    <w:rsid w:val="0081763F"/>
    <w:rsid w:val="00817781"/>
    <w:rsid w:val="00823AAF"/>
    <w:rsid w:val="00824E13"/>
    <w:rsid w:val="00825112"/>
    <w:rsid w:val="008263F0"/>
    <w:rsid w:val="00844B29"/>
    <w:rsid w:val="00844E6F"/>
    <w:rsid w:val="00845CF0"/>
    <w:rsid w:val="00850B42"/>
    <w:rsid w:val="008576F8"/>
    <w:rsid w:val="00860274"/>
    <w:rsid w:val="008610E6"/>
    <w:rsid w:val="0086286A"/>
    <w:rsid w:val="0086332A"/>
    <w:rsid w:val="00866F79"/>
    <w:rsid w:val="008753BB"/>
    <w:rsid w:val="008805F7"/>
    <w:rsid w:val="00880858"/>
    <w:rsid w:val="0088301E"/>
    <w:rsid w:val="008862F6"/>
    <w:rsid w:val="00890224"/>
    <w:rsid w:val="0089363B"/>
    <w:rsid w:val="00894563"/>
    <w:rsid w:val="00894F4D"/>
    <w:rsid w:val="00896D66"/>
    <w:rsid w:val="008A4996"/>
    <w:rsid w:val="008B4E76"/>
    <w:rsid w:val="008B6E4C"/>
    <w:rsid w:val="008B727D"/>
    <w:rsid w:val="008B7363"/>
    <w:rsid w:val="008B7F30"/>
    <w:rsid w:val="008C08EF"/>
    <w:rsid w:val="008C256F"/>
    <w:rsid w:val="008C6A52"/>
    <w:rsid w:val="008D2F38"/>
    <w:rsid w:val="008D4414"/>
    <w:rsid w:val="008D461D"/>
    <w:rsid w:val="008E38CA"/>
    <w:rsid w:val="008E5777"/>
    <w:rsid w:val="008F24AD"/>
    <w:rsid w:val="0090100F"/>
    <w:rsid w:val="00904774"/>
    <w:rsid w:val="00905406"/>
    <w:rsid w:val="00911837"/>
    <w:rsid w:val="009139E8"/>
    <w:rsid w:val="0091480B"/>
    <w:rsid w:val="00921E24"/>
    <w:rsid w:val="00922EEA"/>
    <w:rsid w:val="009234C5"/>
    <w:rsid w:val="0092388C"/>
    <w:rsid w:val="00925DF9"/>
    <w:rsid w:val="00926F16"/>
    <w:rsid w:val="00927397"/>
    <w:rsid w:val="00931A97"/>
    <w:rsid w:val="009339A7"/>
    <w:rsid w:val="00936560"/>
    <w:rsid w:val="00937511"/>
    <w:rsid w:val="00942CEE"/>
    <w:rsid w:val="00947C1D"/>
    <w:rsid w:val="00960123"/>
    <w:rsid w:val="00962232"/>
    <w:rsid w:val="00962B89"/>
    <w:rsid w:val="00964A94"/>
    <w:rsid w:val="00970757"/>
    <w:rsid w:val="00973CD8"/>
    <w:rsid w:val="00985C15"/>
    <w:rsid w:val="00994E99"/>
    <w:rsid w:val="00996569"/>
    <w:rsid w:val="009A0649"/>
    <w:rsid w:val="009A6248"/>
    <w:rsid w:val="009A682E"/>
    <w:rsid w:val="009A77C6"/>
    <w:rsid w:val="009B29A1"/>
    <w:rsid w:val="009B32A0"/>
    <w:rsid w:val="009B7A37"/>
    <w:rsid w:val="009C1BD7"/>
    <w:rsid w:val="009C2265"/>
    <w:rsid w:val="009C2EFF"/>
    <w:rsid w:val="009C462B"/>
    <w:rsid w:val="009C4E13"/>
    <w:rsid w:val="009C6DB2"/>
    <w:rsid w:val="009C7C3A"/>
    <w:rsid w:val="009D0065"/>
    <w:rsid w:val="009D1045"/>
    <w:rsid w:val="009D1E55"/>
    <w:rsid w:val="009D43BE"/>
    <w:rsid w:val="009D455D"/>
    <w:rsid w:val="009D48D8"/>
    <w:rsid w:val="009E1102"/>
    <w:rsid w:val="009E414C"/>
    <w:rsid w:val="009E46C2"/>
    <w:rsid w:val="00A05BCC"/>
    <w:rsid w:val="00A1466D"/>
    <w:rsid w:val="00A20F06"/>
    <w:rsid w:val="00A24A57"/>
    <w:rsid w:val="00A24BDA"/>
    <w:rsid w:val="00A332FD"/>
    <w:rsid w:val="00A33AB9"/>
    <w:rsid w:val="00A35F8D"/>
    <w:rsid w:val="00A42CC0"/>
    <w:rsid w:val="00A449D0"/>
    <w:rsid w:val="00A5004C"/>
    <w:rsid w:val="00A5488B"/>
    <w:rsid w:val="00A5696D"/>
    <w:rsid w:val="00A601BF"/>
    <w:rsid w:val="00A604B8"/>
    <w:rsid w:val="00A60CDB"/>
    <w:rsid w:val="00A61C57"/>
    <w:rsid w:val="00A63511"/>
    <w:rsid w:val="00A6355C"/>
    <w:rsid w:val="00A63992"/>
    <w:rsid w:val="00A64449"/>
    <w:rsid w:val="00A676E6"/>
    <w:rsid w:val="00A71A8B"/>
    <w:rsid w:val="00A764C3"/>
    <w:rsid w:val="00A764CD"/>
    <w:rsid w:val="00A76CE5"/>
    <w:rsid w:val="00A775F5"/>
    <w:rsid w:val="00A77902"/>
    <w:rsid w:val="00A82115"/>
    <w:rsid w:val="00A82C1C"/>
    <w:rsid w:val="00A90D30"/>
    <w:rsid w:val="00A94AD7"/>
    <w:rsid w:val="00A94AD8"/>
    <w:rsid w:val="00A94C7E"/>
    <w:rsid w:val="00A9576E"/>
    <w:rsid w:val="00AA02AB"/>
    <w:rsid w:val="00AA456F"/>
    <w:rsid w:val="00AA4809"/>
    <w:rsid w:val="00AA50DB"/>
    <w:rsid w:val="00AA5ADC"/>
    <w:rsid w:val="00AB219D"/>
    <w:rsid w:val="00AB2618"/>
    <w:rsid w:val="00AB7098"/>
    <w:rsid w:val="00AC12E2"/>
    <w:rsid w:val="00AC2517"/>
    <w:rsid w:val="00AC4DA0"/>
    <w:rsid w:val="00AD16EE"/>
    <w:rsid w:val="00AD529A"/>
    <w:rsid w:val="00AD69F0"/>
    <w:rsid w:val="00AE15E3"/>
    <w:rsid w:val="00AE42AB"/>
    <w:rsid w:val="00AE4B32"/>
    <w:rsid w:val="00AF1585"/>
    <w:rsid w:val="00AF27C7"/>
    <w:rsid w:val="00AF3281"/>
    <w:rsid w:val="00AF5F1C"/>
    <w:rsid w:val="00AF6237"/>
    <w:rsid w:val="00B00424"/>
    <w:rsid w:val="00B022D8"/>
    <w:rsid w:val="00B1130A"/>
    <w:rsid w:val="00B11D46"/>
    <w:rsid w:val="00B157F1"/>
    <w:rsid w:val="00B20498"/>
    <w:rsid w:val="00B212DC"/>
    <w:rsid w:val="00B301F5"/>
    <w:rsid w:val="00B325BA"/>
    <w:rsid w:val="00B3455E"/>
    <w:rsid w:val="00B35065"/>
    <w:rsid w:val="00B3547A"/>
    <w:rsid w:val="00B3702A"/>
    <w:rsid w:val="00B43F97"/>
    <w:rsid w:val="00B47B18"/>
    <w:rsid w:val="00B50397"/>
    <w:rsid w:val="00B51221"/>
    <w:rsid w:val="00B531F8"/>
    <w:rsid w:val="00B53665"/>
    <w:rsid w:val="00B53E79"/>
    <w:rsid w:val="00B54D7F"/>
    <w:rsid w:val="00B57A74"/>
    <w:rsid w:val="00B64D2F"/>
    <w:rsid w:val="00B65EC9"/>
    <w:rsid w:val="00B65EE3"/>
    <w:rsid w:val="00B66574"/>
    <w:rsid w:val="00B70669"/>
    <w:rsid w:val="00B71BB9"/>
    <w:rsid w:val="00B728A0"/>
    <w:rsid w:val="00B7798A"/>
    <w:rsid w:val="00B82603"/>
    <w:rsid w:val="00B83378"/>
    <w:rsid w:val="00B8588A"/>
    <w:rsid w:val="00B8673D"/>
    <w:rsid w:val="00B87AFB"/>
    <w:rsid w:val="00B90CE2"/>
    <w:rsid w:val="00B934D9"/>
    <w:rsid w:val="00B97DE5"/>
    <w:rsid w:val="00BA0344"/>
    <w:rsid w:val="00BA1243"/>
    <w:rsid w:val="00BA36AE"/>
    <w:rsid w:val="00BA50A5"/>
    <w:rsid w:val="00BA57D8"/>
    <w:rsid w:val="00BA5B2D"/>
    <w:rsid w:val="00BA644F"/>
    <w:rsid w:val="00BB2351"/>
    <w:rsid w:val="00BB38BD"/>
    <w:rsid w:val="00BC2FE3"/>
    <w:rsid w:val="00BC6368"/>
    <w:rsid w:val="00BC7591"/>
    <w:rsid w:val="00BC7B68"/>
    <w:rsid w:val="00BD41DE"/>
    <w:rsid w:val="00BD55C9"/>
    <w:rsid w:val="00BE1C94"/>
    <w:rsid w:val="00BE3F7A"/>
    <w:rsid w:val="00BE4424"/>
    <w:rsid w:val="00BF16AA"/>
    <w:rsid w:val="00BF2667"/>
    <w:rsid w:val="00C04979"/>
    <w:rsid w:val="00C05A20"/>
    <w:rsid w:val="00C05D27"/>
    <w:rsid w:val="00C07A93"/>
    <w:rsid w:val="00C11A4B"/>
    <w:rsid w:val="00C20B4F"/>
    <w:rsid w:val="00C20C66"/>
    <w:rsid w:val="00C24367"/>
    <w:rsid w:val="00C26A83"/>
    <w:rsid w:val="00C30204"/>
    <w:rsid w:val="00C33AA9"/>
    <w:rsid w:val="00C33D1E"/>
    <w:rsid w:val="00C349C5"/>
    <w:rsid w:val="00C3529D"/>
    <w:rsid w:val="00C36337"/>
    <w:rsid w:val="00C42D89"/>
    <w:rsid w:val="00C45A7E"/>
    <w:rsid w:val="00C46776"/>
    <w:rsid w:val="00C5386A"/>
    <w:rsid w:val="00C55434"/>
    <w:rsid w:val="00C5773C"/>
    <w:rsid w:val="00C57F9D"/>
    <w:rsid w:val="00C74C00"/>
    <w:rsid w:val="00C7561E"/>
    <w:rsid w:val="00C770D4"/>
    <w:rsid w:val="00C805F9"/>
    <w:rsid w:val="00C81C2C"/>
    <w:rsid w:val="00C86224"/>
    <w:rsid w:val="00C92765"/>
    <w:rsid w:val="00C950F8"/>
    <w:rsid w:val="00C95A38"/>
    <w:rsid w:val="00C95AA5"/>
    <w:rsid w:val="00C96034"/>
    <w:rsid w:val="00CA00DA"/>
    <w:rsid w:val="00CA05DA"/>
    <w:rsid w:val="00CA24B4"/>
    <w:rsid w:val="00CA708B"/>
    <w:rsid w:val="00CB568A"/>
    <w:rsid w:val="00CC1FA3"/>
    <w:rsid w:val="00CC3827"/>
    <w:rsid w:val="00CC5A08"/>
    <w:rsid w:val="00CC5C9D"/>
    <w:rsid w:val="00CC6AEE"/>
    <w:rsid w:val="00CD0963"/>
    <w:rsid w:val="00CD20D3"/>
    <w:rsid w:val="00CD440C"/>
    <w:rsid w:val="00CD6684"/>
    <w:rsid w:val="00CE0F73"/>
    <w:rsid w:val="00CE371E"/>
    <w:rsid w:val="00CE3D6F"/>
    <w:rsid w:val="00CF03B4"/>
    <w:rsid w:val="00CF0782"/>
    <w:rsid w:val="00CF152D"/>
    <w:rsid w:val="00CF25BD"/>
    <w:rsid w:val="00CF3E5A"/>
    <w:rsid w:val="00CF542F"/>
    <w:rsid w:val="00CF57D1"/>
    <w:rsid w:val="00D06924"/>
    <w:rsid w:val="00D15090"/>
    <w:rsid w:val="00D15E86"/>
    <w:rsid w:val="00D16ADB"/>
    <w:rsid w:val="00D21490"/>
    <w:rsid w:val="00D22EEA"/>
    <w:rsid w:val="00D23248"/>
    <w:rsid w:val="00D238A4"/>
    <w:rsid w:val="00D34F2D"/>
    <w:rsid w:val="00D35E1C"/>
    <w:rsid w:val="00D523B4"/>
    <w:rsid w:val="00D54571"/>
    <w:rsid w:val="00D55425"/>
    <w:rsid w:val="00D5638F"/>
    <w:rsid w:val="00D57496"/>
    <w:rsid w:val="00D656C0"/>
    <w:rsid w:val="00D66798"/>
    <w:rsid w:val="00D67E49"/>
    <w:rsid w:val="00D70D38"/>
    <w:rsid w:val="00D74A09"/>
    <w:rsid w:val="00D75298"/>
    <w:rsid w:val="00D76E6F"/>
    <w:rsid w:val="00D8011A"/>
    <w:rsid w:val="00D83C06"/>
    <w:rsid w:val="00D95D7E"/>
    <w:rsid w:val="00DB164B"/>
    <w:rsid w:val="00DC0319"/>
    <w:rsid w:val="00DC38EF"/>
    <w:rsid w:val="00DC3A51"/>
    <w:rsid w:val="00DC5197"/>
    <w:rsid w:val="00DD69D7"/>
    <w:rsid w:val="00DE436C"/>
    <w:rsid w:val="00DE44A7"/>
    <w:rsid w:val="00DE5195"/>
    <w:rsid w:val="00DF0A93"/>
    <w:rsid w:val="00DF21E5"/>
    <w:rsid w:val="00DF3B02"/>
    <w:rsid w:val="00DF4B67"/>
    <w:rsid w:val="00DF6A2E"/>
    <w:rsid w:val="00E0709C"/>
    <w:rsid w:val="00E12F2E"/>
    <w:rsid w:val="00E140ED"/>
    <w:rsid w:val="00E14784"/>
    <w:rsid w:val="00E161DC"/>
    <w:rsid w:val="00E161ED"/>
    <w:rsid w:val="00E167D0"/>
    <w:rsid w:val="00E16CFA"/>
    <w:rsid w:val="00E21B1F"/>
    <w:rsid w:val="00E2354D"/>
    <w:rsid w:val="00E23FB7"/>
    <w:rsid w:val="00E260DD"/>
    <w:rsid w:val="00E3210E"/>
    <w:rsid w:val="00E341CA"/>
    <w:rsid w:val="00E36FA0"/>
    <w:rsid w:val="00E3749B"/>
    <w:rsid w:val="00E45371"/>
    <w:rsid w:val="00E45D3C"/>
    <w:rsid w:val="00E50D05"/>
    <w:rsid w:val="00E5359C"/>
    <w:rsid w:val="00E5747A"/>
    <w:rsid w:val="00E623F1"/>
    <w:rsid w:val="00E66109"/>
    <w:rsid w:val="00E670DF"/>
    <w:rsid w:val="00E67FC2"/>
    <w:rsid w:val="00E71342"/>
    <w:rsid w:val="00E73A53"/>
    <w:rsid w:val="00E83320"/>
    <w:rsid w:val="00E85CAC"/>
    <w:rsid w:val="00E9073C"/>
    <w:rsid w:val="00E934B6"/>
    <w:rsid w:val="00E9598E"/>
    <w:rsid w:val="00E96BCE"/>
    <w:rsid w:val="00E9799B"/>
    <w:rsid w:val="00EA1884"/>
    <w:rsid w:val="00EA3991"/>
    <w:rsid w:val="00EA598D"/>
    <w:rsid w:val="00EA6B90"/>
    <w:rsid w:val="00EB0D4F"/>
    <w:rsid w:val="00EB3046"/>
    <w:rsid w:val="00EB30A8"/>
    <w:rsid w:val="00EB4D82"/>
    <w:rsid w:val="00EB6698"/>
    <w:rsid w:val="00EC0616"/>
    <w:rsid w:val="00EC4EFE"/>
    <w:rsid w:val="00ED3104"/>
    <w:rsid w:val="00EE0AFC"/>
    <w:rsid w:val="00EF2413"/>
    <w:rsid w:val="00F06770"/>
    <w:rsid w:val="00F12E6E"/>
    <w:rsid w:val="00F14418"/>
    <w:rsid w:val="00F1522C"/>
    <w:rsid w:val="00F20C05"/>
    <w:rsid w:val="00F33627"/>
    <w:rsid w:val="00F33778"/>
    <w:rsid w:val="00F34FAD"/>
    <w:rsid w:val="00F36D60"/>
    <w:rsid w:val="00F40F30"/>
    <w:rsid w:val="00F43D5A"/>
    <w:rsid w:val="00F44479"/>
    <w:rsid w:val="00F50143"/>
    <w:rsid w:val="00F5328A"/>
    <w:rsid w:val="00F56409"/>
    <w:rsid w:val="00F6012A"/>
    <w:rsid w:val="00F64EA7"/>
    <w:rsid w:val="00F655A8"/>
    <w:rsid w:val="00F7081E"/>
    <w:rsid w:val="00F71D3A"/>
    <w:rsid w:val="00F755FB"/>
    <w:rsid w:val="00F7583B"/>
    <w:rsid w:val="00F76875"/>
    <w:rsid w:val="00F77B5F"/>
    <w:rsid w:val="00F77D75"/>
    <w:rsid w:val="00F80FD4"/>
    <w:rsid w:val="00F81404"/>
    <w:rsid w:val="00F92EBD"/>
    <w:rsid w:val="00FA0702"/>
    <w:rsid w:val="00FA3709"/>
    <w:rsid w:val="00FA479C"/>
    <w:rsid w:val="00FA5939"/>
    <w:rsid w:val="00FA7D45"/>
    <w:rsid w:val="00FB26C4"/>
    <w:rsid w:val="00FC4224"/>
    <w:rsid w:val="00FC70FB"/>
    <w:rsid w:val="00FC724E"/>
    <w:rsid w:val="00FD0035"/>
    <w:rsid w:val="00FD2916"/>
    <w:rsid w:val="00FD656B"/>
    <w:rsid w:val="00FD7ED2"/>
    <w:rsid w:val="00FE236A"/>
    <w:rsid w:val="00FE2565"/>
    <w:rsid w:val="00FE46E9"/>
    <w:rsid w:val="00FF3636"/>
    <w:rsid w:val="00FF4785"/>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A76FEF"/>
  <w15:docId w15:val="{D0CF4E26-D4F1-4956-88F6-7488D390F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3E79"/>
    <w:pPr>
      <w:spacing w:after="270"/>
    </w:pPr>
    <w:rPr>
      <w:color w:val="000000"/>
    </w:r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7"/>
    <w:qFormat/>
    <w:rsid w:val="00B53E79"/>
    <w:rPr>
      <w:color w:val="175676" w:themeColor="accent2"/>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B53E79"/>
    <w:rPr>
      <w:rFonts w:ascii="Arial" w:hAnsi="Arial"/>
      <w:b/>
      <w:bCs/>
      <w:i w:val="0"/>
      <w:szCs w:val="21"/>
    </w:rPr>
  </w:style>
  <w:style w:type="paragraph" w:styleId="ListParagraph">
    <w:name w:val="List Paragraph"/>
    <w:basedOn w:val="Normal"/>
    <w:uiPriority w:val="34"/>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6844D2"/>
    <w:pPr>
      <w:spacing w:before="12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1"/>
    <w:qFormat/>
    <w:rsid w:val="00E16CFA"/>
    <w:pPr>
      <w:numPr>
        <w:numId w:val="31"/>
      </w:numPr>
      <w:spacing w:before="120" w:after="120"/>
      <w:contextualSpacing w:val="0"/>
    </w:pPr>
    <w:rPr>
      <w:rFonts w:cs="Arial"/>
    </w:rPr>
  </w:style>
  <w:style w:type="character" w:customStyle="1" w:styleId="BulletsChar">
    <w:name w:val="Bullets Char"/>
    <w:basedOn w:val="DefaultParagraphFont"/>
    <w:link w:val="Bullets"/>
    <w:uiPriority w:val="1"/>
    <w:rsid w:val="00A82115"/>
    <w:rPr>
      <w:rFonts w:cs="Arial"/>
      <w:color w:val="40434B" w:themeColor="text1"/>
    </w:rPr>
  </w:style>
  <w:style w:type="paragraph" w:customStyle="1" w:styleId="Sub-Bullets">
    <w:name w:val="Sub-Bullets"/>
    <w:basedOn w:val="ListBullet"/>
    <w:link w:val="Sub-BulletsChar"/>
    <w:uiPriority w:val="1"/>
    <w:qFormat/>
    <w:rsid w:val="007869F6"/>
    <w:pPr>
      <w:numPr>
        <w:ilvl w:val="1"/>
        <w:numId w:val="34"/>
      </w:numPr>
    </w:pPr>
  </w:style>
  <w:style w:type="character" w:customStyle="1" w:styleId="Sub-BulletsChar">
    <w:name w:val="Sub-Bullets Char"/>
    <w:basedOn w:val="DefaultParagraphFont"/>
    <w:link w:val="Sub-Bullets"/>
    <w:uiPriority w:val="1"/>
    <w:rsid w:val="00A82115"/>
    <w:rPr>
      <w:color w:val="40434B" w:themeColor="text1"/>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customStyle="1" w:styleId="EndnotesRefBodyText">
    <w:name w:val="Endnotes &amp; Ref Body Text"/>
    <w:basedOn w:val="EndnoteText"/>
    <w:link w:val="EndnotesRefBodyTextChar"/>
    <w:uiPriority w:val="2"/>
    <w:rsid w:val="00EA3991"/>
    <w:pPr>
      <w:spacing w:before="120"/>
    </w:pPr>
  </w:style>
  <w:style w:type="character" w:customStyle="1" w:styleId="EndnotesRefBodyTextChar">
    <w:name w:val="Endnotes &amp; Ref Body Text Char"/>
    <w:basedOn w:val="EndnoteTextChar"/>
    <w:link w:val="EndnotesRefBodyText"/>
    <w:uiPriority w:val="2"/>
    <w:rsid w:val="005A0AC0"/>
    <w:rPr>
      <w:rFonts w:ascii="Roboto Regular" w:hAnsi="Roboto Regular"/>
      <w:color w:val="65666C"/>
      <w:sz w:val="18"/>
      <w:szCs w:val="24"/>
    </w:rPr>
  </w:style>
  <w:style w:type="paragraph" w:customStyle="1" w:styleId="TableNotesTitle">
    <w:name w:val="Table Notes Title"/>
    <w:basedOn w:val="TableNotes"/>
    <w:link w:val="TableNotesTitleChar"/>
    <w:uiPriority w:val="1"/>
    <w:qFormat/>
    <w:rsid w:val="00970757"/>
    <w:pPr>
      <w:spacing w:before="120"/>
    </w:pPr>
    <w:rPr>
      <w:b/>
    </w:rPr>
  </w:style>
  <w:style w:type="character" w:customStyle="1" w:styleId="TableNotesTitleChar">
    <w:name w:val="Table Notes Title Char"/>
    <w:basedOn w:val="TableNotesChar"/>
    <w:link w:val="TableNotesTitle"/>
    <w:uiPriority w:val="1"/>
    <w:rsid w:val="00970757"/>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2"/>
    <w:rsid w:val="005D0F5B"/>
    <w:pPr>
      <w:spacing w:after="0" w:afterAutospacing="0"/>
    </w:p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character" w:customStyle="1" w:styleId="EndnoteRefBodyTextChar">
    <w:name w:val="Endnote &amp; Ref Body Text Char"/>
    <w:basedOn w:val="EndnoteReferencesTextChar"/>
    <w:link w:val="EndnoteRefBodyText"/>
    <w:uiPriority w:val="2"/>
    <w:rsid w:val="005A0AC0"/>
    <w:rPr>
      <w:rFonts w:ascii="Roboto Regular" w:eastAsia="Times New Roman" w:hAnsi="Roboto Regular"/>
      <w:color w:val="66666C"/>
      <w:sz w:val="18"/>
      <w:szCs w:val="18"/>
    </w:r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B53E79"/>
    <w:pPr>
      <w:spacing w:after="0"/>
    </w:pPr>
    <w:rPr>
      <w:rFonts w:eastAsia="Times New Roman"/>
    </w:rPr>
  </w:style>
  <w:style w:type="character" w:customStyle="1" w:styleId="CommentTextChar">
    <w:name w:val="Comment Text Char"/>
    <w:basedOn w:val="DefaultParagraphFont"/>
    <w:link w:val="CommentText"/>
    <w:uiPriority w:val="99"/>
    <w:rsid w:val="00B53E79"/>
    <w:rPr>
      <w:rFonts w:eastAsia="Times New Roman"/>
      <w:color w:val="000000"/>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color w:val="000000"/>
    </w:rPr>
  </w:style>
  <w:style w:type="character" w:styleId="FollowedHyperlink">
    <w:name w:val="FollowedHyperlink"/>
    <w:basedOn w:val="DefaultParagraphFont"/>
    <w:uiPriority w:val="99"/>
    <w:semiHidden/>
    <w:unhideWhenUsed/>
    <w:rsid w:val="0055796B"/>
    <w:rPr>
      <w:color w:val="B2C7D7"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55796B"/>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 w:type="paragraph" w:customStyle="1" w:styleId="Default">
    <w:name w:val="Default"/>
    <w:rsid w:val="00C74C00"/>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78159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37704">
      <w:bodyDiv w:val="1"/>
      <w:marLeft w:val="0"/>
      <w:marRight w:val="0"/>
      <w:marTop w:val="0"/>
      <w:marBottom w:val="0"/>
      <w:divBdr>
        <w:top w:val="none" w:sz="0" w:space="0" w:color="auto"/>
        <w:left w:val="none" w:sz="0" w:space="0" w:color="auto"/>
        <w:bottom w:val="none" w:sz="0" w:space="0" w:color="auto"/>
        <w:right w:val="none" w:sz="0" w:space="0" w:color="auto"/>
      </w:divBdr>
    </w:div>
    <w:div w:id="228805970">
      <w:bodyDiv w:val="1"/>
      <w:marLeft w:val="0"/>
      <w:marRight w:val="0"/>
      <w:marTop w:val="0"/>
      <w:marBottom w:val="0"/>
      <w:divBdr>
        <w:top w:val="none" w:sz="0" w:space="0" w:color="auto"/>
        <w:left w:val="none" w:sz="0" w:space="0" w:color="auto"/>
        <w:bottom w:val="none" w:sz="0" w:space="0" w:color="auto"/>
        <w:right w:val="none" w:sz="0" w:space="0" w:color="auto"/>
      </w:divBdr>
    </w:div>
    <w:div w:id="528180823">
      <w:bodyDiv w:val="1"/>
      <w:marLeft w:val="0"/>
      <w:marRight w:val="0"/>
      <w:marTop w:val="0"/>
      <w:marBottom w:val="0"/>
      <w:divBdr>
        <w:top w:val="none" w:sz="0" w:space="0" w:color="auto"/>
        <w:left w:val="none" w:sz="0" w:space="0" w:color="auto"/>
        <w:bottom w:val="none" w:sz="0" w:space="0" w:color="auto"/>
        <w:right w:val="none" w:sz="0" w:space="0" w:color="auto"/>
      </w:divBdr>
    </w:div>
    <w:div w:id="690568279">
      <w:bodyDiv w:val="1"/>
      <w:marLeft w:val="0"/>
      <w:marRight w:val="0"/>
      <w:marTop w:val="0"/>
      <w:marBottom w:val="0"/>
      <w:divBdr>
        <w:top w:val="none" w:sz="0" w:space="0" w:color="auto"/>
        <w:left w:val="none" w:sz="0" w:space="0" w:color="auto"/>
        <w:bottom w:val="none" w:sz="0" w:space="0" w:color="auto"/>
        <w:right w:val="none" w:sz="0" w:space="0" w:color="auto"/>
      </w:divBdr>
    </w:div>
    <w:div w:id="840773325">
      <w:bodyDiv w:val="1"/>
      <w:marLeft w:val="0"/>
      <w:marRight w:val="0"/>
      <w:marTop w:val="0"/>
      <w:marBottom w:val="0"/>
      <w:divBdr>
        <w:top w:val="none" w:sz="0" w:space="0" w:color="auto"/>
        <w:left w:val="none" w:sz="0" w:space="0" w:color="auto"/>
        <w:bottom w:val="none" w:sz="0" w:space="0" w:color="auto"/>
        <w:right w:val="none" w:sz="0" w:space="0" w:color="auto"/>
      </w:divBdr>
    </w:div>
    <w:div w:id="1042049141">
      <w:bodyDiv w:val="1"/>
      <w:marLeft w:val="0"/>
      <w:marRight w:val="0"/>
      <w:marTop w:val="0"/>
      <w:marBottom w:val="0"/>
      <w:divBdr>
        <w:top w:val="none" w:sz="0" w:space="0" w:color="auto"/>
        <w:left w:val="none" w:sz="0" w:space="0" w:color="auto"/>
        <w:bottom w:val="none" w:sz="0" w:space="0" w:color="auto"/>
        <w:right w:val="none" w:sz="0" w:space="0" w:color="auto"/>
      </w:divBdr>
    </w:div>
    <w:div w:id="1168867017">
      <w:bodyDiv w:val="1"/>
      <w:marLeft w:val="0"/>
      <w:marRight w:val="0"/>
      <w:marTop w:val="0"/>
      <w:marBottom w:val="0"/>
      <w:divBdr>
        <w:top w:val="none" w:sz="0" w:space="0" w:color="auto"/>
        <w:left w:val="none" w:sz="0" w:space="0" w:color="auto"/>
        <w:bottom w:val="none" w:sz="0" w:space="0" w:color="auto"/>
        <w:right w:val="none" w:sz="0" w:space="0" w:color="auto"/>
      </w:divBdr>
    </w:div>
    <w:div w:id="1267930017">
      <w:bodyDiv w:val="1"/>
      <w:marLeft w:val="0"/>
      <w:marRight w:val="0"/>
      <w:marTop w:val="0"/>
      <w:marBottom w:val="0"/>
      <w:divBdr>
        <w:top w:val="none" w:sz="0" w:space="0" w:color="auto"/>
        <w:left w:val="none" w:sz="0" w:space="0" w:color="auto"/>
        <w:bottom w:val="none" w:sz="0" w:space="0" w:color="auto"/>
        <w:right w:val="none" w:sz="0" w:space="0" w:color="auto"/>
      </w:divBdr>
    </w:div>
    <w:div w:id="1425683783">
      <w:bodyDiv w:val="1"/>
      <w:marLeft w:val="0"/>
      <w:marRight w:val="0"/>
      <w:marTop w:val="0"/>
      <w:marBottom w:val="0"/>
      <w:divBdr>
        <w:top w:val="none" w:sz="0" w:space="0" w:color="auto"/>
        <w:left w:val="none" w:sz="0" w:space="0" w:color="auto"/>
        <w:bottom w:val="none" w:sz="0" w:space="0" w:color="auto"/>
        <w:right w:val="none" w:sz="0" w:space="0" w:color="auto"/>
      </w:divBdr>
    </w:div>
    <w:div w:id="1803841392">
      <w:bodyDiv w:val="1"/>
      <w:marLeft w:val="0"/>
      <w:marRight w:val="0"/>
      <w:marTop w:val="0"/>
      <w:marBottom w:val="0"/>
      <w:divBdr>
        <w:top w:val="none" w:sz="0" w:space="0" w:color="auto"/>
        <w:left w:val="none" w:sz="0" w:space="0" w:color="auto"/>
        <w:bottom w:val="none" w:sz="0" w:space="0" w:color="auto"/>
        <w:right w:val="none" w:sz="0" w:space="0" w:color="auto"/>
      </w:divBdr>
    </w:div>
    <w:div w:id="1827283026">
      <w:bodyDiv w:val="1"/>
      <w:marLeft w:val="0"/>
      <w:marRight w:val="0"/>
      <w:marTop w:val="0"/>
      <w:marBottom w:val="0"/>
      <w:divBdr>
        <w:top w:val="none" w:sz="0" w:space="0" w:color="auto"/>
        <w:left w:val="none" w:sz="0" w:space="0" w:color="auto"/>
        <w:bottom w:val="none" w:sz="0" w:space="0" w:color="auto"/>
        <w:right w:val="none" w:sz="0" w:space="0" w:color="auto"/>
      </w:divBdr>
    </w:div>
    <w:div w:id="1934976166">
      <w:bodyDiv w:val="1"/>
      <w:marLeft w:val="0"/>
      <w:marRight w:val="0"/>
      <w:marTop w:val="0"/>
      <w:marBottom w:val="0"/>
      <w:divBdr>
        <w:top w:val="none" w:sz="0" w:space="0" w:color="auto"/>
        <w:left w:val="none" w:sz="0" w:space="0" w:color="auto"/>
        <w:bottom w:val="none" w:sz="0" w:space="0" w:color="auto"/>
        <w:right w:val="none" w:sz="0" w:space="0" w:color="auto"/>
      </w:divBdr>
    </w:div>
    <w:div w:id="1979332451">
      <w:bodyDiv w:val="1"/>
      <w:marLeft w:val="0"/>
      <w:marRight w:val="0"/>
      <w:marTop w:val="0"/>
      <w:marBottom w:val="0"/>
      <w:divBdr>
        <w:top w:val="none" w:sz="0" w:space="0" w:color="auto"/>
        <w:left w:val="none" w:sz="0" w:space="0" w:color="auto"/>
        <w:bottom w:val="none" w:sz="0" w:space="0" w:color="auto"/>
        <w:right w:val="none" w:sz="0" w:space="0" w:color="auto"/>
      </w:divBdr>
    </w:div>
    <w:div w:id="1987587623">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 w:id="2059358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medicaid.gov/resources-for-states/downloads/data-sources-and-definitions.pdf" TargetMode="External"/><Relationship Id="rId39" Type="http://schemas.openxmlformats.org/officeDocument/2006/relationships/hyperlink" Target="https://www.medicaid.gov/sites/default/files/2023-09/state-asesment-compliance-auto-ren-req_0.pdf" TargetMode="External"/><Relationship Id="rId21" Type="http://schemas.openxmlformats.org/officeDocument/2006/relationships/hyperlink" Target="https://www.kff.org/medicaid/report/medicaid-and-chip-eligibility-enrollment-and-renewal-policies-as-states-prepare-for-the-unwinding-of-the-pandemic-era-continuous-enrollment-provision/" TargetMode="External"/><Relationship Id="rId34" Type="http://schemas.openxmlformats.org/officeDocument/2006/relationships/hyperlink" Target="https://www.medicaid.gov/state-overviews/downloads/magi-app-process-time-snapshot-rpt-jan-mar-2024.pdf" TargetMode="External"/><Relationship Id="rId42" Type="http://schemas.openxmlformats.org/officeDocument/2006/relationships/hyperlink" Target="https://www.medicaid.gov/sites/default/files/2023-11/medicaid-chip-unwinding-oper-snap-august2023.pdf" TargetMode="External"/><Relationship Id="rId47" Type="http://schemas.openxmlformats.org/officeDocument/2006/relationships/hyperlink" Target="https://www.medicaid.gov/resources-for-states/downloads/unwinding-data-rprt.xlsx" TargetMode="External"/><Relationship Id="rId50" Type="http://schemas.openxmlformats.org/officeDocument/2006/relationships/hyperlink" Target="https://www.medicaid.gov/medicaid/downloads/performance-indicators-datadictionary.pdf" TargetMode="External"/><Relationship Id="rId55" Type="http://schemas.openxmlformats.org/officeDocument/2006/relationships/hyperlink" Target="https://data.medicaid.gov/dataset/ebcfc16f-8291-4c61-82a4-055846d72f3a"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https://www.medicaid.gov/federal-policy-guidance/downloads/cib10102024.pdf" TargetMode="External"/><Relationship Id="rId11" Type="http://schemas.openxmlformats.org/officeDocument/2006/relationships/chart" Target="charts/chart4.xml"/><Relationship Id="rId24" Type="http://schemas.openxmlformats.org/officeDocument/2006/relationships/hyperlink" Target="https://www.medicaid.gov/federal-policy-guidance/downloads/sho24002.pdf" TargetMode="External"/><Relationship Id="rId32" Type="http://schemas.openxmlformats.org/officeDocument/2006/relationships/hyperlink" Target="https://www.medicaid.gov/state-overviews/medicaid-modified-adjusted-gross-income-childrens-health-insurance-program-application-processing-time-report/index.html" TargetMode="External"/><Relationship Id="rId37" Type="http://schemas.openxmlformats.org/officeDocument/2006/relationships/hyperlink" Target="https://www.medicaid.gov/sites/default/files/2023-09/data-overview-092023.pdf" TargetMode="External"/><Relationship Id="rId40" Type="http://schemas.openxmlformats.org/officeDocument/2006/relationships/hyperlink" Target="https://www.medicaid.gov/sites/default/files/2023-10/magi-app-process-time-snapshot-rpt-apr-jun-2023.pdf" TargetMode="External"/><Relationship Id="rId45" Type="http://schemas.openxmlformats.org/officeDocument/2006/relationships/hyperlink" Target="https://www.medicaid.gov/resources-for-states/downloads/unwinding-data-training-slides.pdf" TargetMode="External"/><Relationship Id="rId53" Type="http://schemas.openxmlformats.org/officeDocument/2006/relationships/hyperlink" Target="https://www.kff.org/report-section/medicaid-enrollment-and-unwinding-tracker-state-enrollment-and-unwinding-data/" TargetMode="External"/><Relationship Id="rId58" Type="http://schemas.openxmlformats.org/officeDocument/2006/relationships/hyperlink" Target="https://www.kff.org/medicaid/issue-brief/medicaid-public-health-emergency-unwinding-policies-affecting-seniors-people-with-disabilities-findings-from-a-50-state-survey/"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aspe.hhs.gov/sites/default/files/documents/dc73e82abf7fc26b6a8e5cc52ae42d48/aspe-end-mcaid-continuous-coverage.pdf" TargetMode="External"/><Relationship Id="rId14" Type="http://schemas.openxmlformats.org/officeDocument/2006/relationships/header" Target="header2.xml"/><Relationship Id="rId22" Type="http://schemas.openxmlformats.org/officeDocument/2006/relationships/hyperlink" Target="https://www.medicaid.gov/federal-policy-guidance/downloads/cib050924-e14.pdf" TargetMode="External"/><Relationship Id="rId27" Type="http://schemas.openxmlformats.org/officeDocument/2006/relationships/hyperlink" Target="https://data.medicaid.gov/dataset/ebcfc16f-8291-4c61-82a4-055846d72f3a" TargetMode="External"/><Relationship Id="rId30" Type="http://schemas.openxmlformats.org/officeDocument/2006/relationships/hyperlink" Target="https://data.medicaid.gov/dataset/5670e72c-e44e-4282-ab67-4ebebaba3cbd" TargetMode="External"/><Relationship Id="rId35" Type="http://schemas.openxmlformats.org/officeDocument/2006/relationships/hyperlink" Target="https://www.medicaid.gov/state-overviews/downloads/magi-app-process-time-snapshot-rpt-oct-dec-2023.pdf" TargetMode="External"/><Relationship Id="rId43" Type="http://schemas.openxmlformats.org/officeDocument/2006/relationships/hyperlink" Target="https://www.medicaid.gov/resources-for-states/coronavirus-disease-2019-covid-19/unwinding-data-reporting/index.html" TargetMode="External"/><Relationship Id="rId48" Type="http://schemas.openxmlformats.org/officeDocument/2006/relationships/hyperlink" Target="https://www.medicaid.gov/federal-policy-guidance/downloads/cib120420.pdf" TargetMode="External"/><Relationship Id="rId56" Type="http://schemas.openxmlformats.org/officeDocument/2006/relationships/hyperlink" Target="https://data.medicaid.gov/dataset/5636a78c-fe18-4229-aee1-e40fa910a8a0" TargetMode="External"/><Relationship Id="rId8" Type="http://schemas.openxmlformats.org/officeDocument/2006/relationships/chart" Target="charts/chart1.xml"/><Relationship Id="rId51" Type="http://schemas.openxmlformats.org/officeDocument/2006/relationships/hyperlink" Target="https://www.govinfo.gov/content/pkg/FR-2011-04-19/pdf/2011-9340.pdf" TargetMode="Externa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header" Target="header3.xml"/><Relationship Id="rId25" Type="http://schemas.openxmlformats.org/officeDocument/2006/relationships/hyperlink" Target="https://www.medicaid.gov/resources-for-states/downloads/sst-cmpltng-unwndng-rnwls-prlmnry-anlys-05312024.pdf" TargetMode="External"/><Relationship Id="rId33" Type="http://schemas.openxmlformats.org/officeDocument/2006/relationships/hyperlink" Target="https://www.medicaid.gov/state-overviews/downloads/magi-app-process-time-snapshot-rpt-apr-jun-2024.pdf" TargetMode="External"/><Relationship Id="rId38" Type="http://schemas.openxmlformats.org/officeDocument/2006/relationships/hyperlink" Target="https://www.medicaid.gov/sites/default/files/2023-08/state-ltr-ensuring-renewal-compliance.pdf" TargetMode="External"/><Relationship Id="rId46" Type="http://schemas.openxmlformats.org/officeDocument/2006/relationships/hyperlink" Target="https://www.medicaid.gov/sites/default/files/2022-12/unwinding-data-specifications-dec-2022.pdf" TargetMode="External"/><Relationship Id="rId59" Type="http://schemas.openxmlformats.org/officeDocument/2006/relationships/hyperlink" Target="https://www.kff.org/policy-watch/understanding-medicaid-procedural-disenrollment-rates/" TargetMode="External"/><Relationship Id="rId20" Type="http://schemas.openxmlformats.org/officeDocument/2006/relationships/hyperlink" Target="https://www.kff.org/medicaid/report/a-look-at-medicaid-and-chip-eligibility-enrollment-and-renewal-policies-during-the-unwinding-of-continuous-enrollment-and-beyond/" TargetMode="External"/><Relationship Id="rId41" Type="http://schemas.openxmlformats.org/officeDocument/2006/relationships/hyperlink" Target="https://www.govinfo.gov/content/pkg/FR-2023-12-06/pdf/2023-26640.pdf" TargetMode="External"/><Relationship Id="rId54" Type="http://schemas.openxmlformats.org/officeDocument/2006/relationships/hyperlink" Target="https://data.medicaid.gov/dataset/6165f45b-ca93-5bb5-9d06-db29c692a360"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medicaid.gov/resources-for-states/coronavirus-disease-2019-covid-19/unwinding-and-returning-regular-operations-after-covid-19/covid-19-phe-unwinding-section-1902e14a-waiver-approvals/index.html" TargetMode="External"/><Relationship Id="rId28" Type="http://schemas.openxmlformats.org/officeDocument/2006/relationships/hyperlink" Target="https://data.medicaid.gov/dataset/9a83ba5e-05f5-47f5-82de-f3a59233a912" TargetMode="External"/><Relationship Id="rId36" Type="http://schemas.openxmlformats.org/officeDocument/2006/relationships/hyperlink" Target="https://www.medicaid.gov/state-overviews/downloads/magi-app-process-time-snapshot-rpt-jul-sep-2023.pdf" TargetMode="External"/><Relationship Id="rId49" Type="http://schemas.openxmlformats.org/officeDocument/2006/relationships/hyperlink" Target="https://www.medicaid.gov/medicaid/downloads/overview-of-performance-indicator-project.pdf" TargetMode="External"/><Relationship Id="rId57" Type="http://schemas.openxmlformats.org/officeDocument/2006/relationships/hyperlink" Target="https://data.medicaid.gov/dataset/5670e72c-e44e-4282-ab67-4ebebaba3cbd" TargetMode="External"/><Relationship Id="rId10" Type="http://schemas.openxmlformats.org/officeDocument/2006/relationships/chart" Target="charts/chart3.xml"/><Relationship Id="rId31" Type="http://schemas.openxmlformats.org/officeDocument/2006/relationships/hyperlink" Target="https://data.medicaid.gov/dataset/6165f45b-ca93-5bb5-9d06-db29c692a360" TargetMode="External"/><Relationship Id="rId44" Type="http://schemas.openxmlformats.org/officeDocument/2006/relationships/hyperlink" Target="https://www.medicaid.gov/sites/default/files/2022-10/ex-parte-renewal-102022.pdf" TargetMode="External"/><Relationship Id="rId52" Type="http://schemas.openxmlformats.org/officeDocument/2006/relationships/hyperlink" Target="https://www.medicaid.gov/Medicaid-CHIP-Program-Information/By-Topics/Data-and-Systems/Downloads/EFR-Seven-Conditions-and-Standards.pdf" TargetMode="External"/><Relationship Id="rId60" Type="http://schemas.openxmlformats.org/officeDocument/2006/relationships/hyperlink" Target="https://www.shvs.org/states-reporting-of-medicaid-unwinding-reinstatement-data/" TargetMode="External"/><Relationship Id="rId4" Type="http://schemas.openxmlformats.org/officeDocument/2006/relationships/settings" Target="settings.xml"/><Relationship Id="rId9" Type="http://schemas.openxmlformats.org/officeDocument/2006/relationships/chart" Target="charts/chart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kaneko\Downloads\Issue%20Brief%20Template%2007.24%20(1).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linn.jennings\AppData\Local\Box\Box%20Edit\Documents\uZdXr10sj0S5TpFACMgadA==\tables%20and%20figures%20for%20issue%20brief.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linn.jennings\AppData\Local\Box\Box%20Edit\Documents\uZdXr10sj0S5TpFACMgadA==\tables%20and%20figures%20for%20issue%20brief.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linn.jennings\Box\Shared%20Projects\Eligibility%20&amp;%20Enrollment\Unwinding%20data_data%20reporting%20issue%20brief\tables%20and%20figures%20for%20issue%20brief.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linn.jennings\AppData\Local\Box\Box%20Edit\Documents\uZdXr10sj0S5TpFACMgadA==\tables%20and%20figures%20for%20issue%20brief.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linn.jennings\Box\Shared%20Projects\Eligibility%20&amp;%20Enrollment\Unwinding%20data_data%20reporting%20issue%20brief\tables%20and%20figures%20for%20issue%20brief.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2"/>
          <c:order val="2"/>
          <c:tx>
            <c:strRef>
              <c:f>'fig 1 and 2'!$A$18</c:f>
              <c:strCache>
                <c:ptCount val="1"/>
                <c:pt idx="0">
                  <c:v>Total ex-parte renewals</c:v>
                </c:pt>
              </c:strCache>
            </c:strRef>
          </c:tx>
          <c:spPr>
            <a:solidFill>
              <a:schemeClr val="accent3"/>
            </a:solidFill>
            <a:ln>
              <a:noFill/>
            </a:ln>
            <a:effectLst/>
          </c:spPr>
          <c:invertIfNegative val="0"/>
          <c:dLbls>
            <c:dLbl>
              <c:idx val="0"/>
              <c:layout>
                <c:manualLayout>
                  <c:x val="0"/>
                  <c:y val="9.463764946048411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D68-4AB1-A29B-47BE65A498F6}"/>
                </c:ext>
              </c:extLst>
            </c:dLbl>
            <c:dLbl>
              <c:idx val="1"/>
              <c:layout>
                <c:manualLayout>
                  <c:x val="-2.6624068157614241E-3"/>
                  <c:y val="-5.5409740449110525E-4"/>
                </c:manualLayout>
              </c:layout>
              <c:tx>
                <c:rich>
                  <a:bodyPr/>
                  <a:lstStyle/>
                  <a:p>
                    <a:r>
                      <a:rPr lang="en-US"/>
                      <a:t>59%</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D68-4AB1-A29B-47BE65A498F6}"/>
                </c:ext>
              </c:extLst>
            </c:dLbl>
            <c:dLbl>
              <c:idx val="2"/>
              <c:layout>
                <c:manualLayout>
                  <c:x val="0"/>
                  <c:y val="-2.9597185768445611E-2"/>
                </c:manualLayout>
              </c:layout>
              <c:tx>
                <c:rich>
                  <a:bodyPr/>
                  <a:lstStyle/>
                  <a:p>
                    <a:r>
                      <a:rPr lang="en-US"/>
                      <a:t>58%</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D68-4AB1-A29B-47BE65A498F6}"/>
                </c:ext>
              </c:extLst>
            </c:dLbl>
            <c:dLbl>
              <c:idx val="3"/>
              <c:layout>
                <c:manualLayout>
                  <c:x val="7.9872204472842476E-3"/>
                  <c:y val="-5.2252114319043454E-2"/>
                </c:manualLayout>
              </c:layout>
              <c:tx>
                <c:rich>
                  <a:bodyPr/>
                  <a:lstStyle/>
                  <a:p>
                    <a:r>
                      <a:rPr lang="en-US"/>
                      <a:t>60%</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D68-4AB1-A29B-47BE65A498F6}"/>
                </c:ext>
              </c:extLst>
            </c:dLbl>
            <c:dLbl>
              <c:idx val="4"/>
              <c:layout>
                <c:manualLayout>
                  <c:x val="5.3248136315228968E-3"/>
                  <c:y val="-4.1077573636628756E-2"/>
                </c:manualLayout>
              </c:layout>
              <c:tx>
                <c:rich>
                  <a:bodyPr/>
                  <a:lstStyle/>
                  <a:p>
                    <a:r>
                      <a:rPr lang="en-US"/>
                      <a:t>62%</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D68-4AB1-A29B-47BE65A498F6}"/>
                </c:ext>
              </c:extLst>
            </c:dLbl>
            <c:dLbl>
              <c:idx val="5"/>
              <c:layout>
                <c:manualLayout>
                  <c:x val="5.3248136315228968E-3"/>
                  <c:y val="-6.5496500437445315E-2"/>
                </c:manualLayout>
              </c:layout>
              <c:tx>
                <c:rich>
                  <a:bodyPr/>
                  <a:lstStyle/>
                  <a:p>
                    <a:r>
                      <a:rPr lang="en-US"/>
                      <a:t>63%</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D68-4AB1-A29B-47BE65A498F6}"/>
                </c:ext>
              </c:extLst>
            </c:dLbl>
            <c:dLbl>
              <c:idx val="6"/>
              <c:layout>
                <c:manualLayout>
                  <c:x val="5.3248136315228968E-3"/>
                  <c:y val="-3.9080271216097986E-2"/>
                </c:manualLayout>
              </c:layout>
              <c:tx>
                <c:rich>
                  <a:bodyPr/>
                  <a:lstStyle/>
                  <a:p>
                    <a:r>
                      <a:rPr lang="en-US"/>
                      <a:t>67%</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D68-4AB1-A29B-47BE65A498F6}"/>
                </c:ext>
              </c:extLst>
            </c:dLbl>
            <c:dLbl>
              <c:idx val="7"/>
              <c:layout>
                <c:manualLayout>
                  <c:x val="4.8354532606501108E-3"/>
                  <c:y val="-9.0744028349241571E-2"/>
                </c:manualLayout>
              </c:layout>
              <c:tx>
                <c:rich>
                  <a:bodyPr/>
                  <a:lstStyle/>
                  <a:p>
                    <a:r>
                      <a:rPr lang="en-US"/>
                      <a:t>67%</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D68-4AB1-A29B-47BE65A498F6}"/>
                </c:ext>
              </c:extLst>
            </c:dLbl>
            <c:dLbl>
              <c:idx val="8"/>
              <c:layout>
                <c:manualLayout>
                  <c:x val="2.6624068157614484E-3"/>
                  <c:y val="-0.11031058617672791"/>
                </c:manualLayout>
              </c:layout>
              <c:tx>
                <c:rich>
                  <a:bodyPr/>
                  <a:lstStyle/>
                  <a:p>
                    <a:r>
                      <a:rPr lang="en-US"/>
                      <a:t>76%</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D68-4AB1-A29B-47BE65A498F6}"/>
                </c:ext>
              </c:extLst>
            </c:dLbl>
            <c:dLbl>
              <c:idx val="9"/>
              <c:layout>
                <c:manualLayout>
                  <c:x val="-9.7620455524753936E-17"/>
                  <c:y val="-0.10550707203266267"/>
                </c:manualLayout>
              </c:layout>
              <c:tx>
                <c:rich>
                  <a:bodyPr/>
                  <a:lstStyle/>
                  <a:p>
                    <a:r>
                      <a:rPr lang="en-US"/>
                      <a:t>73%</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D68-4AB1-A29B-47BE65A498F6}"/>
                </c:ext>
              </c:extLst>
            </c:dLbl>
            <c:dLbl>
              <c:idx val="10"/>
              <c:layout>
                <c:manualLayout>
                  <c:x val="2.662406815761546E-3"/>
                  <c:y val="-7.9638013998250212E-2"/>
                </c:manualLayout>
              </c:layout>
              <c:tx>
                <c:rich>
                  <a:bodyPr/>
                  <a:lstStyle/>
                  <a:p>
                    <a:r>
                      <a:rPr lang="en-US"/>
                      <a:t>72%</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D68-4AB1-A29B-47BE65A498F6}"/>
                </c:ext>
              </c:extLst>
            </c:dLbl>
            <c:dLbl>
              <c:idx val="11"/>
              <c:layout>
                <c:manualLayout>
                  <c:x val="7.9872204472843447E-3"/>
                  <c:y val="-7.2706692913385829E-2"/>
                </c:manualLayout>
              </c:layout>
              <c:tx>
                <c:rich>
                  <a:bodyPr/>
                  <a:lstStyle/>
                  <a:p>
                    <a:r>
                      <a:rPr lang="en-US"/>
                      <a:t>70%</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D68-4AB1-A29B-47BE65A498F6}"/>
                </c:ext>
              </c:extLst>
            </c:dLbl>
            <c:dLbl>
              <c:idx val="12"/>
              <c:tx>
                <c:rich>
                  <a:bodyPr/>
                  <a:lstStyle/>
                  <a:p>
                    <a:r>
                      <a:rPr lang="en-US"/>
                      <a:t>75%</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1D68-4AB1-A29B-47BE65A498F6}"/>
                </c:ext>
              </c:extLst>
            </c:dLbl>
            <c:dLbl>
              <c:idx val="13"/>
              <c:tx>
                <c:rich>
                  <a:bodyPr/>
                  <a:lstStyle/>
                  <a:p>
                    <a:r>
                      <a:rPr lang="en-US"/>
                      <a:t>74%</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1D68-4AB1-A29B-47BE65A498F6}"/>
                </c:ext>
              </c:extLst>
            </c:dLbl>
            <c:dLbl>
              <c:idx val="14"/>
              <c:tx>
                <c:rich>
                  <a:bodyPr/>
                  <a:lstStyle/>
                  <a:p>
                    <a:r>
                      <a:rPr lang="en-US"/>
                      <a:t>75%</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1D68-4AB1-A29B-47BE65A498F6}"/>
                </c:ext>
              </c:extLst>
            </c:dLbl>
            <c:numFmt formatCode="0%" sourceLinked="0"/>
            <c:spPr>
              <a:solidFill>
                <a:schemeClr val="tx2">
                  <a:lumMod val="40000"/>
                  <a:lumOff val="60000"/>
                </a:schemeClr>
              </a:solid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'fig 1 and 2'!$B$15:$P$15</c:f>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f>'fig 1 and 2'!$B$18:$P$18</c:f>
              <c:numCache>
                <c:formatCode>General</c:formatCode>
                <c:ptCount val="15"/>
                <c:pt idx="0">
                  <c:v>563171</c:v>
                </c:pt>
                <c:pt idx="1">
                  <c:v>1001911.0000000001</c:v>
                </c:pt>
                <c:pt idx="2">
                  <c:v>1959731</c:v>
                </c:pt>
                <c:pt idx="3">
                  <c:v>2205576</c:v>
                </c:pt>
                <c:pt idx="4">
                  <c:v>2340350</c:v>
                </c:pt>
                <c:pt idx="5">
                  <c:v>2448636</c:v>
                </c:pt>
                <c:pt idx="6">
                  <c:v>2728514</c:v>
                </c:pt>
                <c:pt idx="7">
                  <c:v>2595118</c:v>
                </c:pt>
                <c:pt idx="8">
                  <c:v>3356037</c:v>
                </c:pt>
                <c:pt idx="9">
                  <c:v>2843060</c:v>
                </c:pt>
                <c:pt idx="10">
                  <c:v>3132980</c:v>
                </c:pt>
                <c:pt idx="11">
                  <c:v>3260670</c:v>
                </c:pt>
                <c:pt idx="12">
                  <c:v>3250730</c:v>
                </c:pt>
                <c:pt idx="13">
                  <c:v>3120740</c:v>
                </c:pt>
                <c:pt idx="14">
                  <c:v>2885136</c:v>
                </c:pt>
              </c:numCache>
            </c:numRef>
          </c:val>
          <c:extLst>
            <c:ext xmlns:c16="http://schemas.microsoft.com/office/drawing/2014/chart" uri="{C3380CC4-5D6E-409C-BE32-E72D297353CC}">
              <c16:uniqueId val="{0000000F-1D68-4AB1-A29B-47BE65A498F6}"/>
            </c:ext>
          </c:extLst>
        </c:ser>
        <c:ser>
          <c:idx val="3"/>
          <c:order val="3"/>
          <c:tx>
            <c:strRef>
              <c:f>'fig 1 and 2'!$A$19</c:f>
              <c:strCache>
                <c:ptCount val="1"/>
                <c:pt idx="0">
                  <c:v>Total renewals</c:v>
                </c:pt>
              </c:strCache>
            </c:strRef>
          </c:tx>
          <c:spPr>
            <a:solidFill>
              <a:schemeClr val="accent5"/>
            </a:solidFill>
            <a:ln>
              <a:noFill/>
            </a:ln>
            <a:effectLst/>
          </c:spPr>
          <c:invertIfNegative val="0"/>
          <c:cat>
            <c:numRef>
              <c:f>'fig 1 and 2'!$B$15:$P$15</c:f>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f>'fig 1 and 2'!$B$19:$P$19</c:f>
              <c:numCache>
                <c:formatCode>General</c:formatCode>
                <c:ptCount val="15"/>
                <c:pt idx="0">
                  <c:v>445993</c:v>
                </c:pt>
                <c:pt idx="1">
                  <c:v>695137.99999999988</c:v>
                </c:pt>
                <c:pt idx="2">
                  <c:v>1405347</c:v>
                </c:pt>
                <c:pt idx="3">
                  <c:v>1490348</c:v>
                </c:pt>
                <c:pt idx="4">
                  <c:v>1464206</c:v>
                </c:pt>
                <c:pt idx="5">
                  <c:v>1457738</c:v>
                </c:pt>
                <c:pt idx="6">
                  <c:v>1344659</c:v>
                </c:pt>
                <c:pt idx="7">
                  <c:v>1262083</c:v>
                </c:pt>
                <c:pt idx="8">
                  <c:v>1063478</c:v>
                </c:pt>
                <c:pt idx="9">
                  <c:v>1069102</c:v>
                </c:pt>
                <c:pt idx="10">
                  <c:v>1245400</c:v>
                </c:pt>
                <c:pt idx="11">
                  <c:v>1385048</c:v>
                </c:pt>
                <c:pt idx="12">
                  <c:v>1113885</c:v>
                </c:pt>
                <c:pt idx="13">
                  <c:v>1106711</c:v>
                </c:pt>
                <c:pt idx="14">
                  <c:v>955309</c:v>
                </c:pt>
              </c:numCache>
            </c:numRef>
          </c:val>
          <c:extLst>
            <c:ext xmlns:c16="http://schemas.microsoft.com/office/drawing/2014/chart" uri="{C3380CC4-5D6E-409C-BE32-E72D297353CC}">
              <c16:uniqueId val="{00000010-1D68-4AB1-A29B-47BE65A498F6}"/>
            </c:ext>
          </c:extLst>
        </c:ser>
        <c:dLbls>
          <c:showLegendKey val="0"/>
          <c:showVal val="0"/>
          <c:showCatName val="0"/>
          <c:showSerName val="0"/>
          <c:showPercent val="0"/>
          <c:showBubbleSize val="0"/>
        </c:dLbls>
        <c:gapWidth val="150"/>
        <c:overlap val="100"/>
        <c:axId val="1316195488"/>
        <c:axId val="1308158896"/>
        <c:extLst>
          <c:ext xmlns:c15="http://schemas.microsoft.com/office/drawing/2012/chart" uri="{02D57815-91ED-43cb-92C2-25804820EDAC}">
            <c15:filteredBarSeries>
              <c15:ser>
                <c:idx val="0"/>
                <c:order val="0"/>
                <c:tx>
                  <c:strRef>
                    <c:extLst>
                      <c:ext uri="{02D57815-91ED-43cb-92C2-25804820EDAC}">
                        <c15:formulaRef>
                          <c15:sqref>'fig 1 and 2'!$A$16</c15:sqref>
                        </c15:formulaRef>
                      </c:ext>
                    </c:extLst>
                    <c:strCache>
                      <c:ptCount val="1"/>
                      <c:pt idx="0">
                        <c:v>Percent ex-parte of those re-enrolled</c:v>
                      </c:pt>
                    </c:strCache>
                  </c:strRef>
                </c:tx>
                <c:spPr>
                  <a:solidFill>
                    <a:schemeClr val="accent1"/>
                  </a:solidFill>
                  <a:ln>
                    <a:noFill/>
                  </a:ln>
                  <a:effectLst/>
                </c:spPr>
                <c:invertIfNegative val="0"/>
                <c:cat>
                  <c:numRef>
                    <c:extLst>
                      <c:ext uri="{02D57815-91ED-43cb-92C2-25804820EDAC}">
                        <c15:formulaRef>
                          <c15:sqref>'fig 1 and 2'!$B$15:$P$15</c15:sqref>
                        </c15:formulaRef>
                      </c:ext>
                    </c:extLst>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extLst>
                      <c:ext uri="{02D57815-91ED-43cb-92C2-25804820EDAC}">
                        <c15:formulaRef>
                          <c15:sqref>'fig 1 and 2'!$B$16:$P$16</c15:sqref>
                        </c15:formulaRef>
                      </c:ext>
                    </c:extLst>
                    <c:numCache>
                      <c:formatCode>0.0%</c:formatCode>
                      <c:ptCount val="15"/>
                      <c:pt idx="0">
                        <c:v>0.55805696596390675</c:v>
                      </c:pt>
                      <c:pt idx="1">
                        <c:v>0.59038424936463241</c:v>
                      </c:pt>
                      <c:pt idx="2">
                        <c:v>0.58237312775513672</c:v>
                      </c:pt>
                      <c:pt idx="3">
                        <c:v>0.59675902426565053</c:v>
                      </c:pt>
                      <c:pt idx="4">
                        <c:v>0.61514405360310109</c:v>
                      </c:pt>
                      <c:pt idx="5">
                        <c:v>0.62683091787934286</c:v>
                      </c:pt>
                      <c:pt idx="6">
                        <c:v>0.66987432156699456</c:v>
                      </c:pt>
                      <c:pt idx="7">
                        <c:v>0.67279822856003613</c:v>
                      </c:pt>
                      <c:pt idx="8">
                        <c:v>0.75936771342556819</c:v>
                      </c:pt>
                      <c:pt idx="9">
                        <c:v>0.7267234843546867</c:v>
                      </c:pt>
                      <c:pt idx="10">
                        <c:v>0.71555689547275481</c:v>
                      </c:pt>
                      <c:pt idx="11">
                        <c:v>0.70186567501514296</c:v>
                      </c:pt>
                      <c:pt idx="12">
                        <c:v>0.74479192322805099</c:v>
                      </c:pt>
                      <c:pt idx="13">
                        <c:v>0.73820843813446924</c:v>
                      </c:pt>
                      <c:pt idx="14">
                        <c:v>0.75125044102962024</c:v>
                      </c:pt>
                    </c:numCache>
                  </c:numRef>
                </c:val>
                <c:extLst>
                  <c:ext xmlns:c16="http://schemas.microsoft.com/office/drawing/2014/chart" uri="{C3380CC4-5D6E-409C-BE32-E72D297353CC}">
                    <c16:uniqueId val="{00000011-1D68-4AB1-A29B-47BE65A498F6}"/>
                  </c:ext>
                </c:extLst>
              </c15:ser>
            </c15:filteredBarSeries>
            <c15:filteredBarSeries>
              <c15:ser>
                <c:idx val="1"/>
                <c:order val="1"/>
                <c:tx>
                  <c:strRef>
                    <c:extLst xmlns:c15="http://schemas.microsoft.com/office/drawing/2012/chart">
                      <c:ext xmlns:c15="http://schemas.microsoft.com/office/drawing/2012/chart" uri="{02D57815-91ED-43cb-92C2-25804820EDAC}">
                        <c15:formulaRef>
                          <c15:sqref>'fig 1 and 2'!$A$17</c15:sqref>
                        </c15:formulaRef>
                      </c:ext>
                    </c:extLst>
                    <c:strCache>
                      <c:ptCount val="1"/>
                      <c:pt idx="0">
                        <c:v>Total coverage renewed</c:v>
                      </c:pt>
                    </c:strCache>
                  </c:strRef>
                </c:tx>
                <c:spPr>
                  <a:solidFill>
                    <a:schemeClr val="accent2"/>
                  </a:solidFill>
                  <a:ln>
                    <a:noFill/>
                  </a:ln>
                  <a:effectLst/>
                </c:spPr>
                <c:invertIfNegative val="0"/>
                <c:cat>
                  <c:numRef>
                    <c:extLst xmlns:c15="http://schemas.microsoft.com/office/drawing/2012/chart">
                      <c:ext xmlns:c15="http://schemas.microsoft.com/office/drawing/2012/chart" uri="{02D57815-91ED-43cb-92C2-25804820EDAC}">
                        <c15:formulaRef>
                          <c15:sqref>'fig 1 and 2'!$B$15:$P$15</c15:sqref>
                        </c15:formulaRef>
                      </c:ext>
                    </c:extLst>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extLst xmlns:c15="http://schemas.microsoft.com/office/drawing/2012/chart">
                      <c:ext xmlns:c15="http://schemas.microsoft.com/office/drawing/2012/chart" uri="{02D57815-91ED-43cb-92C2-25804820EDAC}">
                        <c15:formulaRef>
                          <c15:sqref>'fig 1 and 2'!$B$17:$P$17</c15:sqref>
                        </c15:formulaRef>
                      </c:ext>
                    </c:extLst>
                    <c:numCache>
                      <c:formatCode>General</c:formatCode>
                      <c:ptCount val="15"/>
                      <c:pt idx="0">
                        <c:v>1009164</c:v>
                      </c:pt>
                      <c:pt idx="1">
                        <c:v>1697049</c:v>
                      </c:pt>
                      <c:pt idx="2">
                        <c:v>3365078</c:v>
                      </c:pt>
                      <c:pt idx="3">
                        <c:v>3695924</c:v>
                      </c:pt>
                      <c:pt idx="4">
                        <c:v>3804556</c:v>
                      </c:pt>
                      <c:pt idx="5">
                        <c:v>3906374</c:v>
                      </c:pt>
                      <c:pt idx="6">
                        <c:v>4073173</c:v>
                      </c:pt>
                      <c:pt idx="7">
                        <c:v>3857201</c:v>
                      </c:pt>
                      <c:pt idx="8">
                        <c:v>4419515</c:v>
                      </c:pt>
                      <c:pt idx="9">
                        <c:v>3912162</c:v>
                      </c:pt>
                      <c:pt idx="10">
                        <c:v>4378380</c:v>
                      </c:pt>
                      <c:pt idx="11">
                        <c:v>4645718</c:v>
                      </c:pt>
                      <c:pt idx="12">
                        <c:v>4364615</c:v>
                      </c:pt>
                      <c:pt idx="13">
                        <c:v>4227451</c:v>
                      </c:pt>
                      <c:pt idx="14">
                        <c:v>3840445</c:v>
                      </c:pt>
                    </c:numCache>
                  </c:numRef>
                </c:val>
                <c:extLst xmlns:c15="http://schemas.microsoft.com/office/drawing/2012/chart">
                  <c:ext xmlns:c16="http://schemas.microsoft.com/office/drawing/2014/chart" uri="{C3380CC4-5D6E-409C-BE32-E72D297353CC}">
                    <c16:uniqueId val="{00000012-1D68-4AB1-A29B-47BE65A498F6}"/>
                  </c:ext>
                </c:extLst>
              </c15:ser>
            </c15:filteredBarSeries>
          </c:ext>
        </c:extLst>
      </c:barChart>
      <c:dateAx>
        <c:axId val="1316195488"/>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j-lt"/>
                <a:ea typeface="+mn-ea"/>
                <a:cs typeface="+mn-cs"/>
              </a:defRPr>
            </a:pPr>
            <a:endParaRPr lang="en-US"/>
          </a:p>
        </c:txPr>
        <c:crossAx val="1308158896"/>
        <c:crosses val="autoZero"/>
        <c:auto val="1"/>
        <c:lblOffset val="100"/>
        <c:baseTimeUnit val="months"/>
      </c:dateAx>
      <c:valAx>
        <c:axId val="13081588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316195488"/>
        <c:crosses val="autoZero"/>
        <c:crossBetween val="between"/>
        <c:majorUnit val="1000000"/>
        <c:dispUnits>
          <c:builtInUnit val="millions"/>
          <c:dispUnitsLbl>
            <c:tx>
              <c:rich>
                <a:bodyPr rot="-5400000" spcFirstLastPara="1" vertOverflow="ellipsis" vert="horz" wrap="square" anchor="ctr" anchorCtr="1"/>
                <a:lstStyle/>
                <a:p>
                  <a:pPr>
                    <a:defRPr sz="1000" b="0" i="0" u="none" strike="noStrike" kern="1200" baseline="0">
                      <a:solidFill>
                        <a:sysClr val="windowText" lastClr="000000"/>
                      </a:solidFill>
                      <a:latin typeface="+mj-lt"/>
                      <a:ea typeface="+mn-ea"/>
                      <a:cs typeface="+mn-cs"/>
                    </a:defRPr>
                  </a:pPr>
                  <a:r>
                    <a:rPr lang="en-US">
                      <a:solidFill>
                        <a:sysClr val="windowText" lastClr="000000"/>
                      </a:solidFill>
                      <a:latin typeface="+mj-lt"/>
                    </a:rPr>
                    <a:t>Total renewals (Millions)</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j-lt"/>
                    <a:ea typeface="+mn-ea"/>
                    <a:cs typeface="+mn-cs"/>
                  </a:defRPr>
                </a:pPr>
                <a:endParaRPr lang="en-US"/>
              </a:p>
            </c:txPr>
          </c:dispUnitsLbl>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2"/>
          <c:order val="2"/>
          <c:tx>
            <c:strRef>
              <c:f>'fig 1 and 2'!$A$38</c:f>
              <c:strCache>
                <c:ptCount val="1"/>
                <c:pt idx="0">
                  <c:v>Total procedurally terminated</c:v>
                </c:pt>
              </c:strCache>
            </c:strRef>
          </c:tx>
          <c:spPr>
            <a:solidFill>
              <a:schemeClr val="accent3"/>
            </a:solidFill>
            <a:ln>
              <a:noFill/>
            </a:ln>
            <a:effectLst/>
          </c:spPr>
          <c:invertIfNegative val="0"/>
          <c:dLbls>
            <c:dLbl>
              <c:idx val="0"/>
              <c:tx>
                <c:rich>
                  <a:bodyPr/>
                  <a:lstStyle/>
                  <a:p>
                    <a:r>
                      <a:rPr lang="en-US"/>
                      <a:t>79%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B53-4A02-8119-91F6E0D6E6E7}"/>
                </c:ext>
              </c:extLst>
            </c:dLbl>
            <c:dLbl>
              <c:idx val="1"/>
              <c:tx>
                <c:rich>
                  <a:bodyPr/>
                  <a:lstStyle/>
                  <a:p>
                    <a:r>
                      <a:rPr lang="en-US"/>
                      <a:t>77%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B53-4A02-8119-91F6E0D6E6E7}"/>
                </c:ext>
              </c:extLst>
            </c:dLbl>
            <c:dLbl>
              <c:idx val="2"/>
              <c:layout>
                <c:manualLayout>
                  <c:x val="-2.7777777777777779E-3"/>
                  <c:y val="-7.4074074074074153E-2"/>
                </c:manualLayout>
              </c:layout>
              <c:tx>
                <c:rich>
                  <a:bodyPr/>
                  <a:lstStyle/>
                  <a:p>
                    <a:r>
                      <a:rPr lang="en-US"/>
                      <a:t>73%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B53-4A02-8119-91F6E0D6E6E7}"/>
                </c:ext>
              </c:extLst>
            </c:dLbl>
            <c:dLbl>
              <c:idx val="3"/>
              <c:tx>
                <c:rich>
                  <a:bodyPr/>
                  <a:lstStyle/>
                  <a:p>
                    <a:r>
                      <a:rPr lang="en-US"/>
                      <a:t>71%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B53-4A02-8119-91F6E0D6E6E7}"/>
                </c:ext>
              </c:extLst>
            </c:dLbl>
            <c:dLbl>
              <c:idx val="4"/>
              <c:tx>
                <c:rich>
                  <a:bodyPr/>
                  <a:lstStyle/>
                  <a:p>
                    <a:r>
                      <a:rPr lang="en-US"/>
                      <a:t>71%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B53-4A02-8119-91F6E0D6E6E7}"/>
                </c:ext>
              </c:extLst>
            </c:dLbl>
            <c:dLbl>
              <c:idx val="5"/>
              <c:tx>
                <c:rich>
                  <a:bodyPr/>
                  <a:lstStyle/>
                  <a:p>
                    <a:r>
                      <a:rPr lang="en-US"/>
                      <a:t>65%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B53-4A02-8119-91F6E0D6E6E7}"/>
                </c:ext>
              </c:extLst>
            </c:dLbl>
            <c:dLbl>
              <c:idx val="6"/>
              <c:tx>
                <c:rich>
                  <a:bodyPr/>
                  <a:lstStyle/>
                  <a:p>
                    <a:r>
                      <a:rPr lang="en-US"/>
                      <a:t>69%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B53-4A02-8119-91F6E0D6E6E7}"/>
                </c:ext>
              </c:extLst>
            </c:dLbl>
            <c:dLbl>
              <c:idx val="7"/>
              <c:tx>
                <c:rich>
                  <a:bodyPr/>
                  <a:lstStyle/>
                  <a:p>
                    <a:r>
                      <a:rPr lang="en-US"/>
                      <a:t>68%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B53-4A02-8119-91F6E0D6E6E7}"/>
                </c:ext>
              </c:extLst>
            </c:dLbl>
            <c:dLbl>
              <c:idx val="8"/>
              <c:tx>
                <c:rich>
                  <a:bodyPr/>
                  <a:lstStyle/>
                  <a:p>
                    <a:r>
                      <a:rPr lang="en-US"/>
                      <a:t>69%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B53-4A02-8119-91F6E0D6E6E7}"/>
                </c:ext>
              </c:extLst>
            </c:dLbl>
            <c:dLbl>
              <c:idx val="9"/>
              <c:tx>
                <c:rich>
                  <a:bodyPr/>
                  <a:lstStyle/>
                  <a:p>
                    <a:r>
                      <a:rPr lang="en-US"/>
                      <a:t>67%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B53-4A02-8119-91F6E0D6E6E7}"/>
                </c:ext>
              </c:extLst>
            </c:dLbl>
            <c:dLbl>
              <c:idx val="10"/>
              <c:tx>
                <c:rich>
                  <a:bodyPr/>
                  <a:lstStyle/>
                  <a:p>
                    <a:r>
                      <a:rPr lang="en-US"/>
                      <a:t>64%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B53-4A02-8119-91F6E0D6E6E7}"/>
                </c:ext>
              </c:extLst>
            </c:dLbl>
            <c:dLbl>
              <c:idx val="11"/>
              <c:tx>
                <c:rich>
                  <a:bodyPr/>
                  <a:lstStyle/>
                  <a:p>
                    <a:r>
                      <a:rPr lang="en-US"/>
                      <a:t>65%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B53-4A02-8119-91F6E0D6E6E7}"/>
                </c:ext>
              </c:extLst>
            </c:dLbl>
            <c:dLbl>
              <c:idx val="12"/>
              <c:tx>
                <c:rich>
                  <a:bodyPr/>
                  <a:lstStyle/>
                  <a:p>
                    <a:r>
                      <a:rPr lang="en-US"/>
                      <a:t>63%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2B53-4A02-8119-91F6E0D6E6E7}"/>
                </c:ext>
              </c:extLst>
            </c:dLbl>
            <c:dLbl>
              <c:idx val="13"/>
              <c:tx>
                <c:rich>
                  <a:bodyPr/>
                  <a:lstStyle/>
                  <a:p>
                    <a:r>
                      <a:rPr lang="en-US"/>
                      <a:t>64%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2B53-4A02-8119-91F6E0D6E6E7}"/>
                </c:ext>
              </c:extLst>
            </c:dLbl>
            <c:dLbl>
              <c:idx val="14"/>
              <c:tx>
                <c:rich>
                  <a:bodyPr/>
                  <a:lstStyle/>
                  <a:p>
                    <a:r>
                      <a:rPr lang="en-US"/>
                      <a:t>65%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2B53-4A02-8119-91F6E0D6E6E7}"/>
                </c:ext>
              </c:extLst>
            </c:dLbl>
            <c:numFmt formatCode="#,##0" sourceLinked="0"/>
            <c:spPr>
              <a:solidFill>
                <a:schemeClr val="tx1">
                  <a:lumMod val="20000"/>
                  <a:lumOff val="80000"/>
                </a:schemeClr>
              </a:solid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'fig 1 and 2'!$B$35:$P$35</c:f>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f>'fig 1 and 2'!$B$38:$P$38</c:f>
              <c:numCache>
                <c:formatCode>General</c:formatCode>
                <c:ptCount val="15"/>
                <c:pt idx="0">
                  <c:v>567130</c:v>
                </c:pt>
                <c:pt idx="1">
                  <c:v>1155599</c:v>
                </c:pt>
                <c:pt idx="2">
                  <c:v>1211472</c:v>
                </c:pt>
                <c:pt idx="3">
                  <c:v>1199950</c:v>
                </c:pt>
                <c:pt idx="4">
                  <c:v>1402797</c:v>
                </c:pt>
                <c:pt idx="5">
                  <c:v>1075956</c:v>
                </c:pt>
                <c:pt idx="6">
                  <c:v>1115574</c:v>
                </c:pt>
                <c:pt idx="7">
                  <c:v>1078663</c:v>
                </c:pt>
                <c:pt idx="8">
                  <c:v>923502.99999999988</c:v>
                </c:pt>
                <c:pt idx="9">
                  <c:v>771488</c:v>
                </c:pt>
                <c:pt idx="10">
                  <c:v>792521</c:v>
                </c:pt>
                <c:pt idx="11">
                  <c:v>963220</c:v>
                </c:pt>
                <c:pt idx="12">
                  <c:v>725879</c:v>
                </c:pt>
                <c:pt idx="13">
                  <c:v>725284</c:v>
                </c:pt>
                <c:pt idx="14">
                  <c:v>589385</c:v>
                </c:pt>
              </c:numCache>
            </c:numRef>
          </c:val>
          <c:extLst>
            <c:ext xmlns:c16="http://schemas.microsoft.com/office/drawing/2014/chart" uri="{C3380CC4-5D6E-409C-BE32-E72D297353CC}">
              <c16:uniqueId val="{0000000F-2B53-4A02-8119-91F6E0D6E6E7}"/>
            </c:ext>
          </c:extLst>
        </c:ser>
        <c:ser>
          <c:idx val="3"/>
          <c:order val="3"/>
          <c:tx>
            <c:strRef>
              <c:f>'fig 1 and 2'!$A$39</c:f>
              <c:strCache>
                <c:ptCount val="1"/>
                <c:pt idx="0">
                  <c:v>Total terminated</c:v>
                </c:pt>
              </c:strCache>
            </c:strRef>
          </c:tx>
          <c:spPr>
            <a:solidFill>
              <a:srgbClr val="B6D9D2"/>
            </a:solidFill>
            <a:ln>
              <a:noFill/>
            </a:ln>
            <a:effectLst/>
          </c:spPr>
          <c:invertIfNegative val="0"/>
          <c:cat>
            <c:numRef>
              <c:f>'fig 1 and 2'!$B$35:$P$35</c:f>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f>'fig 1 and 2'!$B$39:$P$39</c:f>
              <c:numCache>
                <c:formatCode>General</c:formatCode>
                <c:ptCount val="15"/>
                <c:pt idx="0">
                  <c:v>147764</c:v>
                </c:pt>
                <c:pt idx="1">
                  <c:v>349992</c:v>
                </c:pt>
                <c:pt idx="2">
                  <c:v>455609</c:v>
                </c:pt>
                <c:pt idx="3">
                  <c:v>499201</c:v>
                </c:pt>
                <c:pt idx="4">
                  <c:v>574967</c:v>
                </c:pt>
                <c:pt idx="5">
                  <c:v>583917</c:v>
                </c:pt>
                <c:pt idx="6">
                  <c:v>502612</c:v>
                </c:pt>
                <c:pt idx="7">
                  <c:v>502343</c:v>
                </c:pt>
                <c:pt idx="8">
                  <c:v>416628.00000000012</c:v>
                </c:pt>
                <c:pt idx="9">
                  <c:v>379961</c:v>
                </c:pt>
                <c:pt idx="10">
                  <c:v>446331</c:v>
                </c:pt>
                <c:pt idx="11">
                  <c:v>508555</c:v>
                </c:pt>
                <c:pt idx="12">
                  <c:v>430832</c:v>
                </c:pt>
                <c:pt idx="13">
                  <c:v>416891</c:v>
                </c:pt>
                <c:pt idx="14">
                  <c:v>313370</c:v>
                </c:pt>
              </c:numCache>
            </c:numRef>
          </c:val>
          <c:extLst>
            <c:ext xmlns:c16="http://schemas.microsoft.com/office/drawing/2014/chart" uri="{C3380CC4-5D6E-409C-BE32-E72D297353CC}">
              <c16:uniqueId val="{00000010-2B53-4A02-8119-91F6E0D6E6E7}"/>
            </c:ext>
          </c:extLst>
        </c:ser>
        <c:dLbls>
          <c:showLegendKey val="0"/>
          <c:showVal val="0"/>
          <c:showCatName val="0"/>
          <c:showSerName val="0"/>
          <c:showPercent val="0"/>
          <c:showBubbleSize val="0"/>
        </c:dLbls>
        <c:gapWidth val="150"/>
        <c:overlap val="100"/>
        <c:axId val="1316134288"/>
        <c:axId val="1483758928"/>
        <c:extLst>
          <c:ext xmlns:c15="http://schemas.microsoft.com/office/drawing/2012/chart" uri="{02D57815-91ED-43cb-92C2-25804820EDAC}">
            <c15:filteredBarSeries>
              <c15:ser>
                <c:idx val="0"/>
                <c:order val="0"/>
                <c:tx>
                  <c:strRef>
                    <c:extLst>
                      <c:ext uri="{02D57815-91ED-43cb-92C2-25804820EDAC}">
                        <c15:formulaRef>
                          <c15:sqref>'fig 1 and 2'!$A$36</c15:sqref>
                        </c15:formulaRef>
                      </c:ext>
                    </c:extLst>
                    <c:strCache>
                      <c:ptCount val="1"/>
                      <c:pt idx="0">
                        <c:v>Procedurally disenrolled</c:v>
                      </c:pt>
                    </c:strCache>
                  </c:strRef>
                </c:tx>
                <c:spPr>
                  <a:solidFill>
                    <a:schemeClr val="accent1"/>
                  </a:solidFill>
                  <a:ln>
                    <a:noFill/>
                  </a:ln>
                  <a:effectLst/>
                </c:spPr>
                <c:invertIfNegative val="0"/>
                <c:cat>
                  <c:numRef>
                    <c:extLst>
                      <c:ext uri="{02D57815-91ED-43cb-92C2-25804820EDAC}">
                        <c15:formulaRef>
                          <c15:sqref>'fig 1 and 2'!$B$35:$P$35</c15:sqref>
                        </c15:formulaRef>
                      </c:ext>
                    </c:extLst>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extLst>
                      <c:ext uri="{02D57815-91ED-43cb-92C2-25804820EDAC}">
                        <c15:formulaRef>
                          <c15:sqref>'fig 1 and 2'!$B$36:$P$36</c15:sqref>
                        </c15:formulaRef>
                      </c:ext>
                    </c:extLst>
                    <c:numCache>
                      <c:formatCode>0.0%</c:formatCode>
                      <c:ptCount val="15"/>
                      <c:pt idx="0">
                        <c:v>0.79330642025251297</c:v>
                      </c:pt>
                      <c:pt idx="1">
                        <c:v>0.76753846164064476</c:v>
                      </c:pt>
                      <c:pt idx="2">
                        <c:v>0.72670254174812143</c:v>
                      </c:pt>
                      <c:pt idx="3">
                        <c:v>0.70620562857568281</c:v>
                      </c:pt>
                      <c:pt idx="4">
                        <c:v>0.70928432310427336</c:v>
                      </c:pt>
                      <c:pt idx="5">
                        <c:v>0.64821585747825283</c:v>
                      </c:pt>
                      <c:pt idx="6">
                        <c:v>0.68939788133131796</c:v>
                      </c:pt>
                      <c:pt idx="7">
                        <c:v>0.68226369792398001</c:v>
                      </c:pt>
                      <c:pt idx="8">
                        <c:v>0.68911397467859481</c:v>
                      </c:pt>
                      <c:pt idx="9">
                        <c:v>0.67001491164610849</c:v>
                      </c:pt>
                      <c:pt idx="10">
                        <c:v>0.639722097554833</c:v>
                      </c:pt>
                      <c:pt idx="11">
                        <c:v>0.65446144961016461</c:v>
                      </c:pt>
                      <c:pt idx="12">
                        <c:v>0.62753704252834108</c:v>
                      </c:pt>
                      <c:pt idx="13">
                        <c:v>0.6350025171274104</c:v>
                      </c:pt>
                      <c:pt idx="14">
                        <c:v>0.65287370327497496</c:v>
                      </c:pt>
                    </c:numCache>
                  </c:numRef>
                </c:val>
                <c:extLst>
                  <c:ext xmlns:c16="http://schemas.microsoft.com/office/drawing/2014/chart" uri="{C3380CC4-5D6E-409C-BE32-E72D297353CC}">
                    <c16:uniqueId val="{00000011-2B53-4A02-8119-91F6E0D6E6E7}"/>
                  </c:ext>
                </c:extLst>
              </c15:ser>
            </c15:filteredBarSeries>
            <c15:filteredBarSeries>
              <c15:ser>
                <c:idx val="1"/>
                <c:order val="1"/>
                <c:tx>
                  <c:strRef>
                    <c:extLst xmlns:c15="http://schemas.microsoft.com/office/drawing/2012/chart">
                      <c:ext xmlns:c15="http://schemas.microsoft.com/office/drawing/2012/chart" uri="{02D57815-91ED-43cb-92C2-25804820EDAC}">
                        <c15:formulaRef>
                          <c15:sqref>'fig 1 and 2'!$A$37</c15:sqref>
                        </c15:formulaRef>
                      </c:ext>
                    </c:extLst>
                    <c:strCache>
                      <c:ptCount val="1"/>
                      <c:pt idx="0">
                        <c:v>Total terminated (5c + 5b)</c:v>
                      </c:pt>
                    </c:strCache>
                  </c:strRef>
                </c:tx>
                <c:spPr>
                  <a:solidFill>
                    <a:schemeClr val="accent2"/>
                  </a:solidFill>
                  <a:ln>
                    <a:noFill/>
                  </a:ln>
                  <a:effectLst/>
                </c:spPr>
                <c:invertIfNegative val="0"/>
                <c:cat>
                  <c:numRef>
                    <c:extLst xmlns:c15="http://schemas.microsoft.com/office/drawing/2012/chart">
                      <c:ext xmlns:c15="http://schemas.microsoft.com/office/drawing/2012/chart" uri="{02D57815-91ED-43cb-92C2-25804820EDAC}">
                        <c15:formulaRef>
                          <c15:sqref>'fig 1 and 2'!$B$35:$P$35</c15:sqref>
                        </c15:formulaRef>
                      </c:ext>
                    </c:extLst>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extLst xmlns:c15="http://schemas.microsoft.com/office/drawing/2012/chart">
                      <c:ext xmlns:c15="http://schemas.microsoft.com/office/drawing/2012/chart" uri="{02D57815-91ED-43cb-92C2-25804820EDAC}">
                        <c15:formulaRef>
                          <c15:sqref>'fig 1 and 2'!$B$37:$P$37</c15:sqref>
                        </c15:formulaRef>
                      </c:ext>
                    </c:extLst>
                    <c:numCache>
                      <c:formatCode>General</c:formatCode>
                      <c:ptCount val="15"/>
                      <c:pt idx="0">
                        <c:v>714894</c:v>
                      </c:pt>
                      <c:pt idx="1">
                        <c:v>1505591</c:v>
                      </c:pt>
                      <c:pt idx="2">
                        <c:v>1667081</c:v>
                      </c:pt>
                      <c:pt idx="3">
                        <c:v>1699151</c:v>
                      </c:pt>
                      <c:pt idx="4">
                        <c:v>1977764</c:v>
                      </c:pt>
                      <c:pt idx="5">
                        <c:v>1659873</c:v>
                      </c:pt>
                      <c:pt idx="6">
                        <c:v>1618186</c:v>
                      </c:pt>
                      <c:pt idx="7">
                        <c:v>1581006</c:v>
                      </c:pt>
                      <c:pt idx="8">
                        <c:v>1340131</c:v>
                      </c:pt>
                      <c:pt idx="9">
                        <c:v>1151449</c:v>
                      </c:pt>
                      <c:pt idx="10">
                        <c:v>1238852</c:v>
                      </c:pt>
                      <c:pt idx="11">
                        <c:v>1471775</c:v>
                      </c:pt>
                      <c:pt idx="12">
                        <c:v>1156711</c:v>
                      </c:pt>
                      <c:pt idx="13">
                        <c:v>1142175</c:v>
                      </c:pt>
                      <c:pt idx="14">
                        <c:v>902755</c:v>
                      </c:pt>
                    </c:numCache>
                  </c:numRef>
                </c:val>
                <c:extLst xmlns:c15="http://schemas.microsoft.com/office/drawing/2012/chart">
                  <c:ext xmlns:c16="http://schemas.microsoft.com/office/drawing/2014/chart" uri="{C3380CC4-5D6E-409C-BE32-E72D297353CC}">
                    <c16:uniqueId val="{00000012-2B53-4A02-8119-91F6E0D6E6E7}"/>
                  </c:ext>
                </c:extLst>
              </c15:ser>
            </c15:filteredBarSeries>
          </c:ext>
        </c:extLst>
      </c:barChart>
      <c:dateAx>
        <c:axId val="1316134288"/>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1483758928"/>
        <c:crosses val="autoZero"/>
        <c:auto val="1"/>
        <c:lblOffset val="100"/>
        <c:baseTimeUnit val="months"/>
      </c:dateAx>
      <c:valAx>
        <c:axId val="14837589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1316134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'Figure 3'!$A$16</c:f>
              <c:strCache>
                <c:ptCount val="1"/>
                <c:pt idx="0">
                  <c:v>FFM</c:v>
                </c:pt>
              </c:strCache>
            </c:strRef>
          </c:tx>
          <c:spPr>
            <a:ln w="28575" cap="rnd">
              <a:solidFill>
                <a:schemeClr val="accent1"/>
              </a:solidFill>
              <a:round/>
            </a:ln>
            <a:effectLst/>
          </c:spPr>
          <c:marker>
            <c:symbol val="none"/>
          </c:marker>
          <c:cat>
            <c:numRef>
              <c:f>'Figure 3'!$B$15:$P$15</c:f>
              <c:numCache>
                <c:formatCode>[$-409]mmm\-yy;@</c:formatCode>
                <c:ptCount val="15"/>
                <c:pt idx="0">
                  <c:v>45017</c:v>
                </c:pt>
                <c:pt idx="1">
                  <c:v>45047</c:v>
                </c:pt>
                <c:pt idx="2">
                  <c:v>45078</c:v>
                </c:pt>
                <c:pt idx="3">
                  <c:v>45108</c:v>
                </c:pt>
                <c:pt idx="4">
                  <c:v>45139</c:v>
                </c:pt>
                <c:pt idx="5">
                  <c:v>45170</c:v>
                </c:pt>
                <c:pt idx="6">
                  <c:v>45200</c:v>
                </c:pt>
                <c:pt idx="7">
                  <c:v>45231</c:v>
                </c:pt>
                <c:pt idx="8">
                  <c:v>45261</c:v>
                </c:pt>
                <c:pt idx="9">
                  <c:v>45292</c:v>
                </c:pt>
                <c:pt idx="10" formatCode="mmm\-yy">
                  <c:v>45323</c:v>
                </c:pt>
                <c:pt idx="11" formatCode="mmm\-yy">
                  <c:v>45352</c:v>
                </c:pt>
                <c:pt idx="12" formatCode="mmm\-yy">
                  <c:v>45383</c:v>
                </c:pt>
                <c:pt idx="13" formatCode="mmm\-yy">
                  <c:v>45413</c:v>
                </c:pt>
                <c:pt idx="14" formatCode="mmm\-yy">
                  <c:v>45444</c:v>
                </c:pt>
              </c:numCache>
            </c:numRef>
          </c:cat>
          <c:val>
            <c:numRef>
              <c:f>'Figure 3'!$B$16:$N$16</c:f>
              <c:numCache>
                <c:formatCode>0.0%</c:formatCode>
                <c:ptCount val="13"/>
                <c:pt idx="0">
                  <c:v>0.18194251602550779</c:v>
                </c:pt>
                <c:pt idx="1">
                  <c:v>0.16475629498557381</c:v>
                </c:pt>
                <c:pt idx="2">
                  <c:v>0.20007249003262051</c:v>
                </c:pt>
                <c:pt idx="3">
                  <c:v>0.19097387717690192</c:v>
                </c:pt>
                <c:pt idx="4">
                  <c:v>0.1740600302872557</c:v>
                </c:pt>
                <c:pt idx="5">
                  <c:v>0.1788843825269549</c:v>
                </c:pt>
                <c:pt idx="6">
                  <c:v>0.16483545433150798</c:v>
                </c:pt>
                <c:pt idx="7">
                  <c:v>0.1673595456275434</c:v>
                </c:pt>
                <c:pt idx="8">
                  <c:v>0.15051616113925503</c:v>
                </c:pt>
                <c:pt idx="9">
                  <c:v>0.16113030686599841</c:v>
                </c:pt>
                <c:pt idx="10">
                  <c:v>0.15879515937112332</c:v>
                </c:pt>
                <c:pt idx="11">
                  <c:v>0.14554137708404541</c:v>
                </c:pt>
                <c:pt idx="12">
                  <c:v>0.12351473241130487</c:v>
                </c:pt>
              </c:numCache>
            </c:numRef>
          </c:val>
          <c:smooth val="0"/>
          <c:extLst xmlns:c15="http://schemas.microsoft.com/office/drawing/2012/chart">
            <c:ext xmlns:c16="http://schemas.microsoft.com/office/drawing/2014/chart" uri="{C3380CC4-5D6E-409C-BE32-E72D297353CC}">
              <c16:uniqueId val="{00000000-9B20-490F-80A9-3FC220B40FE0}"/>
            </c:ext>
          </c:extLst>
        </c:ser>
        <c:ser>
          <c:idx val="1"/>
          <c:order val="1"/>
          <c:tx>
            <c:strRef>
              <c:f>'Figure 3'!$A$17</c:f>
              <c:strCache>
                <c:ptCount val="1"/>
                <c:pt idx="0">
                  <c:v>SBM</c:v>
                </c:pt>
              </c:strCache>
            </c:strRef>
          </c:tx>
          <c:spPr>
            <a:ln w="28575" cap="rnd">
              <a:solidFill>
                <a:schemeClr val="accent4">
                  <a:lumMod val="75000"/>
                </a:schemeClr>
              </a:solidFill>
              <a:round/>
            </a:ln>
            <a:effectLst/>
          </c:spPr>
          <c:marker>
            <c:symbol val="none"/>
          </c:marker>
          <c:cat>
            <c:numRef>
              <c:f>'Figure 3'!$B$15:$P$15</c:f>
              <c:numCache>
                <c:formatCode>[$-409]mmm\-yy;@</c:formatCode>
                <c:ptCount val="15"/>
                <c:pt idx="0">
                  <c:v>45017</c:v>
                </c:pt>
                <c:pt idx="1">
                  <c:v>45047</c:v>
                </c:pt>
                <c:pt idx="2">
                  <c:v>45078</c:v>
                </c:pt>
                <c:pt idx="3">
                  <c:v>45108</c:v>
                </c:pt>
                <c:pt idx="4">
                  <c:v>45139</c:v>
                </c:pt>
                <c:pt idx="5">
                  <c:v>45170</c:v>
                </c:pt>
                <c:pt idx="6">
                  <c:v>45200</c:v>
                </c:pt>
                <c:pt idx="7">
                  <c:v>45231</c:v>
                </c:pt>
                <c:pt idx="8">
                  <c:v>45261</c:v>
                </c:pt>
                <c:pt idx="9">
                  <c:v>45292</c:v>
                </c:pt>
                <c:pt idx="10" formatCode="mmm\-yy">
                  <c:v>45323</c:v>
                </c:pt>
                <c:pt idx="11" formatCode="mmm\-yy">
                  <c:v>45352</c:v>
                </c:pt>
                <c:pt idx="12" formatCode="mmm\-yy">
                  <c:v>45383</c:v>
                </c:pt>
                <c:pt idx="13" formatCode="mmm\-yy">
                  <c:v>45413</c:v>
                </c:pt>
                <c:pt idx="14" formatCode="mmm\-yy">
                  <c:v>45444</c:v>
                </c:pt>
              </c:numCache>
            </c:numRef>
          </c:cat>
          <c:val>
            <c:numRef>
              <c:f>'Figure 3'!$B$17:$P$17</c:f>
              <c:numCache>
                <c:formatCode>0.0%</c:formatCode>
                <c:ptCount val="15"/>
                <c:pt idx="0">
                  <c:v>7.8297205536693656E-2</c:v>
                </c:pt>
                <c:pt idx="1">
                  <c:v>7.7551320726951659E-2</c:v>
                </c:pt>
                <c:pt idx="2">
                  <c:v>9.9044837865790589E-2</c:v>
                </c:pt>
                <c:pt idx="3">
                  <c:v>0.10629472999349382</c:v>
                </c:pt>
                <c:pt idx="4">
                  <c:v>0.10580576639595675</c:v>
                </c:pt>
                <c:pt idx="5">
                  <c:v>0.12358748396452675</c:v>
                </c:pt>
                <c:pt idx="6">
                  <c:v>0.10178135268237185</c:v>
                </c:pt>
                <c:pt idx="7">
                  <c:v>0.14930630064005326</c:v>
                </c:pt>
                <c:pt idx="8">
                  <c:v>0.25969557634374507</c:v>
                </c:pt>
                <c:pt idx="9">
                  <c:v>0.21105366855834162</c:v>
                </c:pt>
                <c:pt idx="10">
                  <c:v>0.11468667212945211</c:v>
                </c:pt>
                <c:pt idx="11">
                  <c:v>0.12539182562139159</c:v>
                </c:pt>
                <c:pt idx="12">
                  <c:v>0.11982975378004893</c:v>
                </c:pt>
                <c:pt idx="13">
                  <c:v>0.13117622095389866</c:v>
                </c:pt>
                <c:pt idx="14">
                  <c:v>0.14390540391203449</c:v>
                </c:pt>
              </c:numCache>
            </c:numRef>
          </c:val>
          <c:smooth val="0"/>
          <c:extLst xmlns:c15="http://schemas.microsoft.com/office/drawing/2012/chart">
            <c:ext xmlns:c16="http://schemas.microsoft.com/office/drawing/2014/chart" uri="{C3380CC4-5D6E-409C-BE32-E72D297353CC}">
              <c16:uniqueId val="{00000001-9B20-490F-80A9-3FC220B40FE0}"/>
            </c:ext>
          </c:extLst>
        </c:ser>
        <c:ser>
          <c:idx val="2"/>
          <c:order val="2"/>
          <c:tx>
            <c:strRef>
              <c:f>'Figure 3'!$A$18</c:f>
              <c:strCache>
                <c:ptCount val="1"/>
                <c:pt idx="0">
                  <c:v>SBM with integrated system</c:v>
                </c:pt>
              </c:strCache>
            </c:strRef>
          </c:tx>
          <c:spPr>
            <a:ln w="28575" cap="rnd">
              <a:solidFill>
                <a:schemeClr val="accent5"/>
              </a:solidFill>
              <a:round/>
            </a:ln>
            <a:effectLst/>
          </c:spPr>
          <c:marker>
            <c:symbol val="none"/>
          </c:marker>
          <c:cat>
            <c:numRef>
              <c:f>'Figure 3'!$B$15:$P$15</c:f>
              <c:numCache>
                <c:formatCode>[$-409]mmm\-yy;@</c:formatCode>
                <c:ptCount val="15"/>
                <c:pt idx="0">
                  <c:v>45017</c:v>
                </c:pt>
                <c:pt idx="1">
                  <c:v>45047</c:v>
                </c:pt>
                <c:pt idx="2">
                  <c:v>45078</c:v>
                </c:pt>
                <c:pt idx="3">
                  <c:v>45108</c:v>
                </c:pt>
                <c:pt idx="4">
                  <c:v>45139</c:v>
                </c:pt>
                <c:pt idx="5">
                  <c:v>45170</c:v>
                </c:pt>
                <c:pt idx="6">
                  <c:v>45200</c:v>
                </c:pt>
                <c:pt idx="7">
                  <c:v>45231</c:v>
                </c:pt>
                <c:pt idx="8">
                  <c:v>45261</c:v>
                </c:pt>
                <c:pt idx="9">
                  <c:v>45292</c:v>
                </c:pt>
                <c:pt idx="10" formatCode="mmm\-yy">
                  <c:v>45323</c:v>
                </c:pt>
                <c:pt idx="11" formatCode="mmm\-yy">
                  <c:v>45352</c:v>
                </c:pt>
                <c:pt idx="12" formatCode="mmm\-yy">
                  <c:v>45383</c:v>
                </c:pt>
                <c:pt idx="13" formatCode="mmm\-yy">
                  <c:v>45413</c:v>
                </c:pt>
                <c:pt idx="14" formatCode="mmm\-yy">
                  <c:v>45444</c:v>
                </c:pt>
              </c:numCache>
            </c:numRef>
          </c:cat>
          <c:val>
            <c:numRef>
              <c:f>'Figure 3'!$B$18:$P$18</c:f>
              <c:numCache>
                <c:formatCode>0.0%</c:formatCode>
                <c:ptCount val="15"/>
                <c:pt idx="0">
                  <c:v>0.12522993157236406</c:v>
                </c:pt>
                <c:pt idx="1">
                  <c:v>7.9045567382455842E-2</c:v>
                </c:pt>
                <c:pt idx="2">
                  <c:v>0.12488878192505724</c:v>
                </c:pt>
                <c:pt idx="3">
                  <c:v>0.1356001638672675</c:v>
                </c:pt>
                <c:pt idx="4">
                  <c:v>0.13073217781379662</c:v>
                </c:pt>
                <c:pt idx="5">
                  <c:v>0.12083902075565613</c:v>
                </c:pt>
                <c:pt idx="6">
                  <c:v>0.10822638344188508</c:v>
                </c:pt>
                <c:pt idx="7">
                  <c:v>0.13693713701050328</c:v>
                </c:pt>
                <c:pt idx="8">
                  <c:v>0.17010716349823307</c:v>
                </c:pt>
                <c:pt idx="9">
                  <c:v>0.13057592131456833</c:v>
                </c:pt>
                <c:pt idx="10">
                  <c:v>0.11626108917354222</c:v>
                </c:pt>
                <c:pt idx="11">
                  <c:v>0.10597696773579518</c:v>
                </c:pt>
                <c:pt idx="12">
                  <c:v>0.12580533719612347</c:v>
                </c:pt>
                <c:pt idx="13">
                  <c:v>8.9826706555306848E-2</c:v>
                </c:pt>
                <c:pt idx="14">
                  <c:v>0.10336782915594904</c:v>
                </c:pt>
              </c:numCache>
            </c:numRef>
          </c:val>
          <c:smooth val="0"/>
          <c:extLst xmlns:c15="http://schemas.microsoft.com/office/drawing/2012/chart">
            <c:ext xmlns:c16="http://schemas.microsoft.com/office/drawing/2014/chart" uri="{C3380CC4-5D6E-409C-BE32-E72D297353CC}">
              <c16:uniqueId val="{00000002-9B20-490F-80A9-3FC220B40FE0}"/>
            </c:ext>
          </c:extLst>
        </c:ser>
        <c:dLbls>
          <c:showLegendKey val="0"/>
          <c:showVal val="0"/>
          <c:showCatName val="0"/>
          <c:showSerName val="0"/>
          <c:showPercent val="0"/>
          <c:showBubbleSize val="0"/>
        </c:dLbls>
        <c:smooth val="0"/>
        <c:axId val="1960975904"/>
        <c:axId val="2011716416"/>
        <c:extLst/>
      </c:lineChart>
      <c:dateAx>
        <c:axId val="1960975904"/>
        <c:scaling>
          <c:orientation val="minMax"/>
        </c:scaling>
        <c:delete val="0"/>
        <c:axPos val="b"/>
        <c:numFmt formatCode="[$-409]mmm\-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2011716416"/>
        <c:crosses val="autoZero"/>
        <c:auto val="1"/>
        <c:lblOffset val="100"/>
        <c:baseTimeUnit val="months"/>
      </c:dateAx>
      <c:valAx>
        <c:axId val="2011716416"/>
        <c:scaling>
          <c:orientation val="minMax"/>
          <c:max val="0.30000000000000004"/>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1960975904"/>
        <c:crosses val="autoZero"/>
        <c:crossBetween val="between"/>
        <c:majorUnit val="0.1"/>
      </c:valAx>
      <c:spPr>
        <a:noFill/>
        <a:ln>
          <a:noFill/>
        </a:ln>
        <a:effectLst/>
      </c:spPr>
    </c:plotArea>
    <c:legend>
      <c:legendPos val="r"/>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'Figure 5'!$A$2</c:f>
              <c:strCache>
                <c:ptCount val="1"/>
                <c:pt idx="0">
                  <c:v>Average call center wait time (minutes)</c:v>
                </c:pt>
              </c:strCache>
            </c:strRef>
          </c:tx>
          <c:spPr>
            <a:ln w="28575" cap="rnd">
              <a:solidFill>
                <a:schemeClr val="accent5"/>
              </a:solidFill>
              <a:round/>
            </a:ln>
            <a:effectLst/>
          </c:spPr>
          <c:marker>
            <c:symbol val="none"/>
          </c:marker>
          <c:cat>
            <c:numRef>
              <c:f>'Figure 5'!$B$1:$P$1</c:f>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f>'Figure 5'!$B$2:$P$2</c:f>
              <c:numCache>
                <c:formatCode>General</c:formatCode>
                <c:ptCount val="15"/>
                <c:pt idx="0">
                  <c:v>9.7200000000000006</c:v>
                </c:pt>
                <c:pt idx="1">
                  <c:v>9.32</c:v>
                </c:pt>
                <c:pt idx="2">
                  <c:v>10.4</c:v>
                </c:pt>
                <c:pt idx="3">
                  <c:v>12.38</c:v>
                </c:pt>
                <c:pt idx="4">
                  <c:v>11.5</c:v>
                </c:pt>
                <c:pt idx="5">
                  <c:v>11.7</c:v>
                </c:pt>
                <c:pt idx="6">
                  <c:v>10.42</c:v>
                </c:pt>
                <c:pt idx="7">
                  <c:v>12.56</c:v>
                </c:pt>
                <c:pt idx="8">
                  <c:v>11.46</c:v>
                </c:pt>
                <c:pt idx="9">
                  <c:v>13.46</c:v>
                </c:pt>
                <c:pt idx="10">
                  <c:v>11.82</c:v>
                </c:pt>
                <c:pt idx="11">
                  <c:v>9</c:v>
                </c:pt>
                <c:pt idx="12">
                  <c:v>9.4600000000000009</c:v>
                </c:pt>
                <c:pt idx="13">
                  <c:v>7.78</c:v>
                </c:pt>
                <c:pt idx="14">
                  <c:v>8.26</c:v>
                </c:pt>
              </c:numCache>
            </c:numRef>
          </c:val>
          <c:smooth val="0"/>
          <c:extLst>
            <c:ext xmlns:c16="http://schemas.microsoft.com/office/drawing/2014/chart" uri="{C3380CC4-5D6E-409C-BE32-E72D297353CC}">
              <c16:uniqueId val="{00000000-E261-476B-A742-48794EFC6265}"/>
            </c:ext>
          </c:extLst>
        </c:ser>
        <c:dLbls>
          <c:showLegendKey val="0"/>
          <c:showVal val="0"/>
          <c:showCatName val="0"/>
          <c:showSerName val="0"/>
          <c:showPercent val="0"/>
          <c:showBubbleSize val="0"/>
        </c:dLbls>
        <c:marker val="1"/>
        <c:smooth val="0"/>
        <c:axId val="1320036928"/>
        <c:axId val="1607855888"/>
      </c:lineChart>
      <c:lineChart>
        <c:grouping val="standard"/>
        <c:varyColors val="0"/>
        <c:ser>
          <c:idx val="1"/>
          <c:order val="1"/>
          <c:tx>
            <c:strRef>
              <c:f>'Figure 5'!$A$3</c:f>
              <c:strCache>
                <c:ptCount val="1"/>
                <c:pt idx="0">
                  <c:v>Average abandonment rate</c:v>
                </c:pt>
              </c:strCache>
            </c:strRef>
          </c:tx>
          <c:spPr>
            <a:ln w="28575" cap="rnd">
              <a:solidFill>
                <a:schemeClr val="accent2"/>
              </a:solidFill>
              <a:round/>
            </a:ln>
            <a:effectLst/>
          </c:spPr>
          <c:marker>
            <c:symbol val="none"/>
          </c:marker>
          <c:cat>
            <c:numRef>
              <c:f>'Figure 5'!$B$1:$P$1</c:f>
              <c:numCache>
                <c:formatCode>d\-mmm</c:formatCode>
                <c:ptCount val="15"/>
                <c:pt idx="0" formatCode="mmm\-yy">
                  <c:v>45017</c:v>
                </c:pt>
                <c:pt idx="1">
                  <c:v>45047</c:v>
                </c:pt>
                <c:pt idx="2" formatCode="mmm\-yy">
                  <c:v>45078</c:v>
                </c:pt>
                <c:pt idx="3">
                  <c:v>45108</c:v>
                </c:pt>
                <c:pt idx="4" formatCode="mmm\-yy">
                  <c:v>45139</c:v>
                </c:pt>
                <c:pt idx="5">
                  <c:v>45170</c:v>
                </c:pt>
                <c:pt idx="6" formatCode="mmm\-yy">
                  <c:v>45200</c:v>
                </c:pt>
                <c:pt idx="7">
                  <c:v>45231</c:v>
                </c:pt>
                <c:pt idx="8" formatCode="mmm\-yy">
                  <c:v>45261</c:v>
                </c:pt>
                <c:pt idx="9">
                  <c:v>45292</c:v>
                </c:pt>
                <c:pt idx="10" formatCode="mmm\-yy">
                  <c:v>45323</c:v>
                </c:pt>
                <c:pt idx="11">
                  <c:v>45352</c:v>
                </c:pt>
                <c:pt idx="12">
                  <c:v>45383</c:v>
                </c:pt>
                <c:pt idx="13" formatCode="mmm\-yy">
                  <c:v>45413</c:v>
                </c:pt>
                <c:pt idx="14">
                  <c:v>45444</c:v>
                </c:pt>
              </c:numCache>
            </c:numRef>
          </c:cat>
          <c:val>
            <c:numRef>
              <c:f>'Figure 5'!$B$3:$P$3</c:f>
              <c:numCache>
                <c:formatCode>0.0%</c:formatCode>
                <c:ptCount val="15"/>
                <c:pt idx="0">
                  <c:v>0.12701999999999999</c:v>
                </c:pt>
                <c:pt idx="1">
                  <c:v>0.13039999999999996</c:v>
                </c:pt>
                <c:pt idx="2">
                  <c:v>0.14076</c:v>
                </c:pt>
                <c:pt idx="3">
                  <c:v>0.15692000000000003</c:v>
                </c:pt>
                <c:pt idx="4">
                  <c:v>0.15379999999999999</c:v>
                </c:pt>
                <c:pt idx="5">
                  <c:v>0.1573</c:v>
                </c:pt>
                <c:pt idx="6">
                  <c:v>0.15782000000000004</c:v>
                </c:pt>
                <c:pt idx="7">
                  <c:v>0.16342857142857142</c:v>
                </c:pt>
                <c:pt idx="8">
                  <c:v>0.16303999999999999</c:v>
                </c:pt>
                <c:pt idx="9">
                  <c:v>0.17680000000000004</c:v>
                </c:pt>
                <c:pt idx="10">
                  <c:v>0.1447</c:v>
                </c:pt>
                <c:pt idx="11">
                  <c:v>0.12152000000000002</c:v>
                </c:pt>
                <c:pt idx="12">
                  <c:v>0.12373999999999998</c:v>
                </c:pt>
                <c:pt idx="13">
                  <c:v>0.10372000000000003</c:v>
                </c:pt>
                <c:pt idx="14">
                  <c:v>0.11094000000000001</c:v>
                </c:pt>
              </c:numCache>
            </c:numRef>
          </c:val>
          <c:smooth val="0"/>
          <c:extLst>
            <c:ext xmlns:c16="http://schemas.microsoft.com/office/drawing/2014/chart" uri="{C3380CC4-5D6E-409C-BE32-E72D297353CC}">
              <c16:uniqueId val="{00000001-E261-476B-A742-48794EFC6265}"/>
            </c:ext>
          </c:extLst>
        </c:ser>
        <c:dLbls>
          <c:showLegendKey val="0"/>
          <c:showVal val="0"/>
          <c:showCatName val="0"/>
          <c:showSerName val="0"/>
          <c:showPercent val="0"/>
          <c:showBubbleSize val="0"/>
        </c:dLbls>
        <c:marker val="1"/>
        <c:smooth val="0"/>
        <c:axId val="1312100592"/>
        <c:axId val="1081620832"/>
      </c:lineChart>
      <c:dateAx>
        <c:axId val="1320036928"/>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1607855888"/>
        <c:crosses val="autoZero"/>
        <c:auto val="1"/>
        <c:lblOffset val="100"/>
        <c:baseTimeUnit val="months"/>
      </c:dateAx>
      <c:valAx>
        <c:axId val="1607855888"/>
        <c:scaling>
          <c:orientation val="minMax"/>
          <c:max val="2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Avg. call center wait time (minutes)</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320036928"/>
        <c:crosses val="autoZero"/>
        <c:crossBetween val="between"/>
      </c:valAx>
      <c:valAx>
        <c:axId val="1081620832"/>
        <c:scaling>
          <c:orientation val="minMax"/>
        </c:scaling>
        <c:delete val="0"/>
        <c:axPos val="r"/>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t>Avg. call abandonment rate</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1312100592"/>
        <c:crosses val="max"/>
        <c:crossBetween val="between"/>
      </c:valAx>
      <c:dateAx>
        <c:axId val="1312100592"/>
        <c:scaling>
          <c:orientation val="minMax"/>
        </c:scaling>
        <c:delete val="1"/>
        <c:axPos val="b"/>
        <c:numFmt formatCode="mmm\-yy" sourceLinked="1"/>
        <c:majorTickMark val="out"/>
        <c:minorTickMark val="none"/>
        <c:tickLblPos val="nextTo"/>
        <c:crossAx val="1081620832"/>
        <c:crosses val="autoZero"/>
        <c:auto val="1"/>
        <c:lblOffset val="100"/>
        <c:baseTimeUnit val="months"/>
      </c:date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38880038839078E-2"/>
          <c:y val="3.5737491877842753E-2"/>
          <c:w val="0.68771516999681381"/>
          <c:h val="0.83348528802320765"/>
        </c:manualLayout>
      </c:layout>
      <c:lineChart>
        <c:grouping val="standard"/>
        <c:varyColors val="0"/>
        <c:ser>
          <c:idx val="0"/>
          <c:order val="0"/>
          <c:tx>
            <c:strRef>
              <c:f>Applications!$B$18</c:f>
              <c:strCache>
                <c:ptCount val="1"/>
                <c:pt idx="0">
                  <c:v>Applications processed &lt; 24 hours</c:v>
                </c:pt>
              </c:strCache>
            </c:strRef>
          </c:tx>
          <c:spPr>
            <a:ln w="28575" cap="rnd">
              <a:solidFill>
                <a:schemeClr val="accent5"/>
              </a:solidFill>
              <a:round/>
            </a:ln>
            <a:effectLst/>
          </c:spPr>
          <c:marker>
            <c:symbol val="none"/>
          </c:marker>
          <c:cat>
            <c:numRef>
              <c:f>Applications!$A$37:$A$51</c:f>
              <c:numCache>
                <c:formatCode>mmm\-yy</c:formatCode>
                <c:ptCount val="15"/>
                <c:pt idx="0">
                  <c:v>45017</c:v>
                </c:pt>
                <c:pt idx="1">
                  <c:v>45047</c:v>
                </c:pt>
                <c:pt idx="2">
                  <c:v>45078</c:v>
                </c:pt>
                <c:pt idx="3">
                  <c:v>45108</c:v>
                </c:pt>
                <c:pt idx="4">
                  <c:v>45139</c:v>
                </c:pt>
                <c:pt idx="5">
                  <c:v>45170</c:v>
                </c:pt>
                <c:pt idx="6">
                  <c:v>45200</c:v>
                </c:pt>
                <c:pt idx="7">
                  <c:v>45231</c:v>
                </c:pt>
                <c:pt idx="8">
                  <c:v>45261</c:v>
                </c:pt>
                <c:pt idx="9">
                  <c:v>45292</c:v>
                </c:pt>
                <c:pt idx="10">
                  <c:v>45323</c:v>
                </c:pt>
                <c:pt idx="11">
                  <c:v>45352</c:v>
                </c:pt>
                <c:pt idx="12">
                  <c:v>45383</c:v>
                </c:pt>
                <c:pt idx="13">
                  <c:v>45413</c:v>
                </c:pt>
                <c:pt idx="14">
                  <c:v>45444</c:v>
                </c:pt>
              </c:numCache>
            </c:numRef>
          </c:cat>
          <c:val>
            <c:numRef>
              <c:f>Applications!$B$37:$B$51</c:f>
              <c:numCache>
                <c:formatCode>0%</c:formatCode>
                <c:ptCount val="15"/>
                <c:pt idx="0">
                  <c:v>0.54</c:v>
                </c:pt>
                <c:pt idx="1">
                  <c:v>0.56999999999999995</c:v>
                </c:pt>
                <c:pt idx="2">
                  <c:v>0.59</c:v>
                </c:pt>
                <c:pt idx="3">
                  <c:v>0.59</c:v>
                </c:pt>
                <c:pt idx="4">
                  <c:v>0.56999999999999995</c:v>
                </c:pt>
                <c:pt idx="5">
                  <c:v>0.57999999999999996</c:v>
                </c:pt>
                <c:pt idx="6">
                  <c:v>0.51</c:v>
                </c:pt>
                <c:pt idx="7">
                  <c:v>0.56999999999999995</c:v>
                </c:pt>
                <c:pt idx="8">
                  <c:v>0.55000000000000004</c:v>
                </c:pt>
                <c:pt idx="9">
                  <c:v>0.44</c:v>
                </c:pt>
                <c:pt idx="10">
                  <c:v>0.39</c:v>
                </c:pt>
                <c:pt idx="11">
                  <c:v>0.43</c:v>
                </c:pt>
                <c:pt idx="12">
                  <c:v>0.43</c:v>
                </c:pt>
                <c:pt idx="13">
                  <c:v>0.44</c:v>
                </c:pt>
                <c:pt idx="14">
                  <c:v>0.45</c:v>
                </c:pt>
              </c:numCache>
            </c:numRef>
          </c:val>
          <c:smooth val="0"/>
          <c:extLst>
            <c:ext xmlns:c16="http://schemas.microsoft.com/office/drawing/2014/chart" uri="{C3380CC4-5D6E-409C-BE32-E72D297353CC}">
              <c16:uniqueId val="{00000000-5DF9-4FAD-9101-EDA80748EA0B}"/>
            </c:ext>
          </c:extLst>
        </c:ser>
        <c:ser>
          <c:idx val="1"/>
          <c:order val="1"/>
          <c:tx>
            <c:strRef>
              <c:f>Applications!$C$18</c:f>
              <c:strCache>
                <c:ptCount val="1"/>
                <c:pt idx="0">
                  <c:v>Applications
Processed
1–7 days</c:v>
                </c:pt>
              </c:strCache>
            </c:strRef>
          </c:tx>
          <c:spPr>
            <a:ln w="28575" cap="rnd">
              <a:solidFill>
                <a:schemeClr val="accent1"/>
              </a:solidFill>
              <a:round/>
            </a:ln>
            <a:effectLst/>
          </c:spPr>
          <c:marker>
            <c:symbol val="none"/>
          </c:marker>
          <c:cat>
            <c:numRef>
              <c:f>Applications!$A$37:$A$51</c:f>
              <c:numCache>
                <c:formatCode>mmm\-yy</c:formatCode>
                <c:ptCount val="15"/>
                <c:pt idx="0">
                  <c:v>45017</c:v>
                </c:pt>
                <c:pt idx="1">
                  <c:v>45047</c:v>
                </c:pt>
                <c:pt idx="2">
                  <c:v>45078</c:v>
                </c:pt>
                <c:pt idx="3">
                  <c:v>45108</c:v>
                </c:pt>
                <c:pt idx="4">
                  <c:v>45139</c:v>
                </c:pt>
                <c:pt idx="5">
                  <c:v>45170</c:v>
                </c:pt>
                <c:pt idx="6">
                  <c:v>45200</c:v>
                </c:pt>
                <c:pt idx="7">
                  <c:v>45231</c:v>
                </c:pt>
                <c:pt idx="8">
                  <c:v>45261</c:v>
                </c:pt>
                <c:pt idx="9">
                  <c:v>45292</c:v>
                </c:pt>
                <c:pt idx="10">
                  <c:v>45323</c:v>
                </c:pt>
                <c:pt idx="11">
                  <c:v>45352</c:v>
                </c:pt>
                <c:pt idx="12">
                  <c:v>45383</c:v>
                </c:pt>
                <c:pt idx="13">
                  <c:v>45413</c:v>
                </c:pt>
                <c:pt idx="14">
                  <c:v>45444</c:v>
                </c:pt>
              </c:numCache>
            </c:numRef>
          </c:cat>
          <c:val>
            <c:numRef>
              <c:f>Applications!$C$37:$C$51</c:f>
              <c:numCache>
                <c:formatCode>0%</c:formatCode>
                <c:ptCount val="15"/>
                <c:pt idx="0">
                  <c:v>0.14000000000000001</c:v>
                </c:pt>
                <c:pt idx="1">
                  <c:v>0.13</c:v>
                </c:pt>
                <c:pt idx="2">
                  <c:v>0.13</c:v>
                </c:pt>
                <c:pt idx="3">
                  <c:v>0.11</c:v>
                </c:pt>
                <c:pt idx="4">
                  <c:v>0.12</c:v>
                </c:pt>
                <c:pt idx="5">
                  <c:v>0.1</c:v>
                </c:pt>
                <c:pt idx="6">
                  <c:v>0.12</c:v>
                </c:pt>
                <c:pt idx="7">
                  <c:v>0.11</c:v>
                </c:pt>
                <c:pt idx="8">
                  <c:v>0.14000000000000001</c:v>
                </c:pt>
                <c:pt idx="9">
                  <c:v>0.13</c:v>
                </c:pt>
                <c:pt idx="10">
                  <c:v>0.13</c:v>
                </c:pt>
                <c:pt idx="11">
                  <c:v>0.13</c:v>
                </c:pt>
                <c:pt idx="12">
                  <c:v>0.14000000000000001</c:v>
                </c:pt>
                <c:pt idx="13">
                  <c:v>0.14000000000000001</c:v>
                </c:pt>
                <c:pt idx="14">
                  <c:v>0.14000000000000001</c:v>
                </c:pt>
              </c:numCache>
            </c:numRef>
          </c:val>
          <c:smooth val="0"/>
          <c:extLst>
            <c:ext xmlns:c16="http://schemas.microsoft.com/office/drawing/2014/chart" uri="{C3380CC4-5D6E-409C-BE32-E72D297353CC}">
              <c16:uniqueId val="{00000001-5DF9-4FAD-9101-EDA80748EA0B}"/>
            </c:ext>
          </c:extLst>
        </c:ser>
        <c:ser>
          <c:idx val="2"/>
          <c:order val="2"/>
          <c:tx>
            <c:strRef>
              <c:f>Applications!$D$18</c:f>
              <c:strCache>
                <c:ptCount val="1"/>
                <c:pt idx="0">
                  <c:v>Applications
Processed
&gt; 45 Days</c:v>
                </c:pt>
              </c:strCache>
            </c:strRef>
          </c:tx>
          <c:spPr>
            <a:ln w="28575" cap="rnd">
              <a:solidFill>
                <a:schemeClr val="accent3"/>
              </a:solidFill>
              <a:round/>
            </a:ln>
            <a:effectLst/>
          </c:spPr>
          <c:marker>
            <c:symbol val="none"/>
          </c:marker>
          <c:cat>
            <c:numRef>
              <c:f>Applications!$A$37:$A$51</c:f>
              <c:numCache>
                <c:formatCode>mmm\-yy</c:formatCode>
                <c:ptCount val="15"/>
                <c:pt idx="0">
                  <c:v>45017</c:v>
                </c:pt>
                <c:pt idx="1">
                  <c:v>45047</c:v>
                </c:pt>
                <c:pt idx="2">
                  <c:v>45078</c:v>
                </c:pt>
                <c:pt idx="3">
                  <c:v>45108</c:v>
                </c:pt>
                <c:pt idx="4">
                  <c:v>45139</c:v>
                </c:pt>
                <c:pt idx="5">
                  <c:v>45170</c:v>
                </c:pt>
                <c:pt idx="6">
                  <c:v>45200</c:v>
                </c:pt>
                <c:pt idx="7">
                  <c:v>45231</c:v>
                </c:pt>
                <c:pt idx="8">
                  <c:v>45261</c:v>
                </c:pt>
                <c:pt idx="9">
                  <c:v>45292</c:v>
                </c:pt>
                <c:pt idx="10">
                  <c:v>45323</c:v>
                </c:pt>
                <c:pt idx="11">
                  <c:v>45352</c:v>
                </c:pt>
                <c:pt idx="12">
                  <c:v>45383</c:v>
                </c:pt>
                <c:pt idx="13">
                  <c:v>45413</c:v>
                </c:pt>
                <c:pt idx="14">
                  <c:v>45444</c:v>
                </c:pt>
              </c:numCache>
            </c:numRef>
          </c:cat>
          <c:val>
            <c:numRef>
              <c:f>Applications!$D$37:$D$51</c:f>
              <c:numCache>
                <c:formatCode>0%</c:formatCode>
                <c:ptCount val="15"/>
                <c:pt idx="0">
                  <c:v>7.0000000000000007E-2</c:v>
                </c:pt>
                <c:pt idx="1">
                  <c:v>0.04</c:v>
                </c:pt>
                <c:pt idx="2">
                  <c:v>0.04</c:v>
                </c:pt>
                <c:pt idx="3">
                  <c:v>0.05</c:v>
                </c:pt>
                <c:pt idx="4">
                  <c:v>0.06</c:v>
                </c:pt>
                <c:pt idx="5">
                  <c:v>0.06</c:v>
                </c:pt>
                <c:pt idx="6">
                  <c:v>0.08</c:v>
                </c:pt>
                <c:pt idx="7">
                  <c:v>0.06</c:v>
                </c:pt>
                <c:pt idx="8">
                  <c:v>0.06</c:v>
                </c:pt>
                <c:pt idx="9">
                  <c:v>0.12</c:v>
                </c:pt>
                <c:pt idx="10">
                  <c:v>0.15</c:v>
                </c:pt>
                <c:pt idx="11">
                  <c:v>0.14000000000000001</c:v>
                </c:pt>
                <c:pt idx="12">
                  <c:v>0.13</c:v>
                </c:pt>
                <c:pt idx="13">
                  <c:v>0.12</c:v>
                </c:pt>
                <c:pt idx="14">
                  <c:v>0.1</c:v>
                </c:pt>
              </c:numCache>
            </c:numRef>
          </c:val>
          <c:smooth val="0"/>
          <c:extLst>
            <c:ext xmlns:c16="http://schemas.microsoft.com/office/drawing/2014/chart" uri="{C3380CC4-5D6E-409C-BE32-E72D297353CC}">
              <c16:uniqueId val="{00000002-5DF9-4FAD-9101-EDA80748EA0B}"/>
            </c:ext>
          </c:extLst>
        </c:ser>
        <c:dLbls>
          <c:showLegendKey val="0"/>
          <c:showVal val="0"/>
          <c:showCatName val="0"/>
          <c:showSerName val="0"/>
          <c:showPercent val="0"/>
          <c:showBubbleSize val="0"/>
        </c:dLbls>
        <c:smooth val="0"/>
        <c:axId val="1625567280"/>
        <c:axId val="1798358176"/>
      </c:lineChart>
      <c:dateAx>
        <c:axId val="1625567280"/>
        <c:scaling>
          <c:orientation val="minMax"/>
        </c:scaling>
        <c:delete val="0"/>
        <c:axPos val="b"/>
        <c:numFmt formatCode="mmm\-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798358176"/>
        <c:crosses val="autoZero"/>
        <c:auto val="1"/>
        <c:lblOffset val="100"/>
        <c:baseTimeUnit val="months"/>
      </c:dateAx>
      <c:valAx>
        <c:axId val="17983581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625567280"/>
        <c:crosses val="autoZero"/>
        <c:crossBetween val="between"/>
      </c:valAx>
      <c:spPr>
        <a:noFill/>
        <a:ln>
          <a:noFill/>
        </a:ln>
        <a:effectLst/>
      </c:spPr>
    </c:plotArea>
    <c:legend>
      <c:legendPos val="r"/>
      <c:layout>
        <c:manualLayout>
          <c:xMode val="edge"/>
          <c:yMode val="edge"/>
          <c:x val="0.75369077420235764"/>
          <c:y val="0.37109791100673817"/>
          <c:w val="0.23121174882041479"/>
          <c:h val="0.3752769207942575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Custom 2">
    <a:dk1>
      <a:srgbClr val="40434B"/>
    </a:dk1>
    <a:lt1>
      <a:srgbClr val="FFFFFF"/>
    </a:lt1>
    <a:dk2>
      <a:srgbClr val="65666C"/>
    </a:dk2>
    <a:lt2>
      <a:srgbClr val="FFFFFF"/>
    </a:lt2>
    <a:accent1>
      <a:srgbClr val="003461"/>
    </a:accent1>
    <a:accent2>
      <a:srgbClr val="B2C7D7"/>
    </a:accent2>
    <a:accent3>
      <a:srgbClr val="008170"/>
    </a:accent3>
    <a:accent4>
      <a:srgbClr val="608BA3"/>
    </a:accent4>
    <a:accent5>
      <a:srgbClr val="CEEFEA"/>
    </a:accent5>
    <a:accent6>
      <a:srgbClr val="40434B"/>
    </a:accent6>
    <a:hlink>
      <a:srgbClr val="5CA1BE"/>
    </a:hlink>
    <a:folHlink>
      <a:srgbClr val="B2C7D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E25A0-DABD-431E-83C3-0D30FB04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Issue Brief Template 07.24 (1)</Template>
  <TotalTime>231</TotalTime>
  <Pages>16</Pages>
  <Words>7019</Words>
  <Characters>40010</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 Jennings</dc:creator>
  <cp:lastModifiedBy>Caroline Broder</cp:lastModifiedBy>
  <cp:revision>20</cp:revision>
  <cp:lastPrinted>2024-11-20T16:43:00Z</cp:lastPrinted>
  <dcterms:created xsi:type="dcterms:W3CDTF">2024-11-26T14:34:00Z</dcterms:created>
  <dcterms:modified xsi:type="dcterms:W3CDTF">2024-11-27T14:16:00Z</dcterms:modified>
</cp:coreProperties>
</file>