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10D27F" w14:textId="759EAB62" w:rsidR="00CD3698" w:rsidRPr="00CD3698" w:rsidRDefault="00D33009" w:rsidP="00CD3698">
      <w:pPr>
        <w:pStyle w:val="Heading2"/>
      </w:pPr>
      <w:bookmarkStart w:id="0" w:name="_GoBack"/>
      <w:bookmarkEnd w:id="0"/>
      <w:r w:rsidRPr="00D33009">
        <w:t xml:space="preserve">Thursday, </w:t>
      </w:r>
      <w:r w:rsidR="00492E5B">
        <w:t>October</w:t>
      </w:r>
      <w:r w:rsidRPr="00D33009">
        <w:t xml:space="preserve"> </w:t>
      </w:r>
      <w:r w:rsidR="00492E5B">
        <w:t>31</w:t>
      </w:r>
    </w:p>
    <w:p w14:paraId="3EF2E2B9" w14:textId="108BCB5E" w:rsidR="00CD3698" w:rsidRDefault="00CD3698" w:rsidP="00CD3698">
      <w:pPr>
        <w:rPr>
          <w:sz w:val="22"/>
          <w:szCs w:val="22"/>
        </w:rPr>
      </w:pPr>
      <w:r w:rsidRPr="00CD3698">
        <w:rPr>
          <w:b/>
          <w:sz w:val="22"/>
          <w:szCs w:val="22"/>
        </w:rPr>
        <w:t>Social</w:t>
      </w:r>
      <w:r>
        <w:rPr>
          <w:b/>
          <w:sz w:val="22"/>
          <w:szCs w:val="22"/>
        </w:rPr>
        <w:t xml:space="preserve">: </w:t>
      </w:r>
      <w:r w:rsidRPr="00CD3698">
        <w:rPr>
          <w:sz w:val="22"/>
          <w:szCs w:val="22"/>
        </w:rPr>
        <w:t xml:space="preserve">If you’re tuning in for </w:t>
      </w:r>
      <w:r w:rsidR="00E97C43">
        <w:rPr>
          <w:sz w:val="22"/>
          <w:szCs w:val="22"/>
        </w:rPr>
        <w:t>MACPAC’s</w:t>
      </w:r>
      <w:r w:rsidRPr="00CD3698">
        <w:rPr>
          <w:sz w:val="22"/>
          <w:szCs w:val="22"/>
        </w:rPr>
        <w:t xml:space="preserve"> </w:t>
      </w:r>
      <w:r w:rsidR="00492E5B">
        <w:rPr>
          <w:sz w:val="22"/>
          <w:szCs w:val="22"/>
        </w:rPr>
        <w:t>October</w:t>
      </w:r>
      <w:r w:rsidRPr="00CD3698">
        <w:rPr>
          <w:sz w:val="22"/>
          <w:szCs w:val="22"/>
        </w:rPr>
        <w:t xml:space="preserve"> meeting, please find all of the presentations live on our site! LINK</w:t>
      </w:r>
    </w:p>
    <w:p w14:paraId="5BCCD5A8" w14:textId="5C2D671F" w:rsidR="00CD3698" w:rsidRPr="00CD3698" w:rsidRDefault="00CD3698" w:rsidP="00CD3698">
      <w:pPr>
        <w:rPr>
          <w:sz w:val="22"/>
          <w:szCs w:val="22"/>
        </w:rPr>
      </w:pPr>
      <w:r w:rsidRPr="00281FED">
        <w:rPr>
          <w:b/>
          <w:noProof/>
          <w:sz w:val="22"/>
          <w:szCs w:val="22"/>
          <w:shd w:val="clear" w:color="auto" w:fill="FFFFFF"/>
        </w:rPr>
        <w:drawing>
          <wp:inline distT="0" distB="0" distL="0" distR="0" wp14:anchorId="54D9E8FA" wp14:editId="6CD8A815">
            <wp:extent cx="3512820" cy="1836340"/>
            <wp:effectExtent l="0" t="0" r="0" b="0"/>
            <wp:docPr id="3" name="Picture 3" descr="Find all presentations at MACPAC.gov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d all presentations at MACPAC.gov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55331" cy="1858563"/>
                    </a:xfrm>
                    <a:prstGeom prst="rect">
                      <a:avLst/>
                    </a:prstGeom>
                    <a:noFill/>
                    <a:ln>
                      <a:noFill/>
                    </a:ln>
                  </pic:spPr>
                </pic:pic>
              </a:graphicData>
            </a:graphic>
          </wp:inline>
        </w:drawing>
      </w:r>
    </w:p>
    <w:p w14:paraId="1F63135C" w14:textId="77777777" w:rsidR="00492E5B" w:rsidRDefault="00492E5B" w:rsidP="00D33009">
      <w:pPr>
        <w:spacing w:after="0"/>
        <w:rPr>
          <w:rFonts w:eastAsia="MS Gothic"/>
          <w:b/>
          <w:color w:val="003461"/>
          <w:spacing w:val="5"/>
          <w:kern w:val="28"/>
          <w:sz w:val="24"/>
          <w:szCs w:val="24"/>
        </w:rPr>
      </w:pPr>
    </w:p>
    <w:p w14:paraId="590B716E" w14:textId="08221A99" w:rsidR="00492E5B" w:rsidRDefault="00492E5B" w:rsidP="00D33009">
      <w:pPr>
        <w:spacing w:after="0"/>
        <w:rPr>
          <w:rFonts w:eastAsia="MS Gothic"/>
          <w:b/>
          <w:color w:val="003461"/>
          <w:spacing w:val="5"/>
          <w:kern w:val="28"/>
          <w:sz w:val="24"/>
          <w:szCs w:val="24"/>
        </w:rPr>
      </w:pPr>
      <w:r w:rsidRPr="00492E5B">
        <w:rPr>
          <w:rFonts w:eastAsia="MS Gothic"/>
          <w:b/>
          <w:color w:val="003461"/>
          <w:spacing w:val="5"/>
          <w:kern w:val="28"/>
          <w:sz w:val="24"/>
          <w:szCs w:val="24"/>
        </w:rPr>
        <w:t>Medications for Opioid Use Disorder and Related Policies</w:t>
      </w:r>
    </w:p>
    <w:p w14:paraId="7A0E0D53" w14:textId="77777777" w:rsidR="00492E5B" w:rsidRDefault="00492E5B" w:rsidP="00D33009">
      <w:pPr>
        <w:spacing w:after="0"/>
        <w:rPr>
          <w:rFonts w:cs="Arial"/>
          <w:color w:val="auto"/>
          <w:sz w:val="22"/>
          <w:szCs w:val="22"/>
        </w:rPr>
      </w:pPr>
    </w:p>
    <w:p w14:paraId="159D1A06" w14:textId="7824D3D5" w:rsidR="00492E5B" w:rsidRDefault="00492E5B" w:rsidP="00492E5B">
      <w:pPr>
        <w:spacing w:after="0"/>
        <w:rPr>
          <w:rFonts w:cs="Arial"/>
          <w:color w:val="auto"/>
          <w:sz w:val="22"/>
          <w:szCs w:val="22"/>
        </w:rPr>
      </w:pPr>
      <w:r w:rsidRPr="00492E5B">
        <w:rPr>
          <w:rFonts w:cs="Arial"/>
          <w:color w:val="auto"/>
          <w:sz w:val="22"/>
          <w:szCs w:val="22"/>
        </w:rPr>
        <w:t>The COVID-19 pandemic and continued increase in overdose-related deaths have prompted a number of federal policy changes intended to increase access to medications for opioid use disorder (MOUD). There are three types of MOUD approved by the U.S. Food and Drug Administration: methadone, buprenorphine, and extended-release injectable naltrexone. These medications are the standard of treatment for opioid use disorder, yet they remain underused.</w:t>
      </w:r>
    </w:p>
    <w:p w14:paraId="37DF8B04" w14:textId="77777777" w:rsidR="00492E5B" w:rsidRPr="00492E5B" w:rsidRDefault="00492E5B" w:rsidP="00492E5B">
      <w:pPr>
        <w:spacing w:after="0"/>
        <w:rPr>
          <w:rFonts w:cs="Arial"/>
          <w:color w:val="auto"/>
          <w:sz w:val="22"/>
          <w:szCs w:val="22"/>
        </w:rPr>
      </w:pPr>
    </w:p>
    <w:p w14:paraId="46FC04FD" w14:textId="6DFCCC7E" w:rsidR="00492E5B" w:rsidRPr="00492E5B" w:rsidRDefault="00492E5B" w:rsidP="00492E5B">
      <w:pPr>
        <w:spacing w:after="0"/>
        <w:rPr>
          <w:rFonts w:cs="Arial"/>
          <w:color w:val="auto"/>
          <w:sz w:val="22"/>
          <w:szCs w:val="22"/>
        </w:rPr>
      </w:pPr>
      <w:r w:rsidRPr="00492E5B">
        <w:rPr>
          <w:rFonts w:cs="Arial"/>
          <w:color w:val="auto"/>
          <w:sz w:val="22"/>
          <w:szCs w:val="22"/>
        </w:rPr>
        <w:t>This session provide</w:t>
      </w:r>
      <w:r w:rsidR="009637FD">
        <w:rPr>
          <w:rFonts w:cs="Arial"/>
          <w:color w:val="auto"/>
          <w:sz w:val="22"/>
          <w:szCs w:val="22"/>
        </w:rPr>
        <w:t>d</w:t>
      </w:r>
      <w:r w:rsidRPr="00492E5B">
        <w:rPr>
          <w:rFonts w:cs="Arial"/>
          <w:color w:val="auto"/>
          <w:sz w:val="22"/>
          <w:szCs w:val="22"/>
        </w:rPr>
        <w:t xml:space="preserve"> an overview of MOUD, as well as federal policies and other factors that affect access to these medications. Staff discuss</w:t>
      </w:r>
      <w:r w:rsidR="009637FD">
        <w:rPr>
          <w:rFonts w:cs="Arial"/>
          <w:color w:val="auto"/>
          <w:sz w:val="22"/>
          <w:szCs w:val="22"/>
        </w:rPr>
        <w:t>ed</w:t>
      </w:r>
      <w:r w:rsidRPr="00492E5B">
        <w:rPr>
          <w:rFonts w:cs="Arial"/>
          <w:color w:val="auto"/>
          <w:sz w:val="22"/>
          <w:szCs w:val="22"/>
        </w:rPr>
        <w:t xml:space="preserve"> next steps for the Commission’s work in this area, including future presentations on MOUD coverage and utilization based on an analysis of Medicaid claims data. Staff will also return to pre</w:t>
      </w:r>
      <w:r w:rsidR="009637FD">
        <w:rPr>
          <w:rFonts w:cs="Arial"/>
          <w:color w:val="auto"/>
          <w:sz w:val="22"/>
          <w:szCs w:val="22"/>
        </w:rPr>
        <w:t>sent</w:t>
      </w:r>
      <w:r w:rsidRPr="00492E5B">
        <w:rPr>
          <w:rFonts w:cs="Arial"/>
          <w:color w:val="auto"/>
          <w:sz w:val="22"/>
          <w:szCs w:val="22"/>
        </w:rPr>
        <w:t xml:space="preserve"> findings from stakeholder interviews on the effects of recent policy changes and barriers to accessing MOUD.  </w:t>
      </w:r>
    </w:p>
    <w:p w14:paraId="663DC0A6" w14:textId="6A149318" w:rsidR="003141D6" w:rsidRPr="00E92C8F" w:rsidRDefault="003141D6" w:rsidP="00D33009">
      <w:pPr>
        <w:spacing w:after="0"/>
        <w:rPr>
          <w:rFonts w:cs="Arial"/>
          <w:color w:val="auto"/>
          <w:sz w:val="22"/>
          <w:szCs w:val="22"/>
        </w:rPr>
      </w:pPr>
    </w:p>
    <w:p w14:paraId="113B0CBA" w14:textId="485E520D" w:rsidR="00E92C8F" w:rsidRPr="00E92C8F" w:rsidRDefault="003141D6" w:rsidP="00E92C8F">
      <w:pPr>
        <w:spacing w:after="0"/>
        <w:rPr>
          <w:rFonts w:cs="Arial"/>
          <w:sz w:val="22"/>
          <w:szCs w:val="22"/>
        </w:rPr>
      </w:pPr>
      <w:r w:rsidRPr="00E92C8F">
        <w:rPr>
          <w:rFonts w:cs="Arial"/>
          <w:b/>
          <w:color w:val="auto"/>
          <w:sz w:val="22"/>
          <w:szCs w:val="22"/>
        </w:rPr>
        <w:t>Social:</w:t>
      </w:r>
      <w:r w:rsidRPr="00E92C8F">
        <w:rPr>
          <w:rFonts w:cs="Arial"/>
          <w:color w:val="auto"/>
          <w:sz w:val="22"/>
          <w:szCs w:val="22"/>
        </w:rPr>
        <w:t xml:space="preserve"> </w:t>
      </w:r>
      <w:r w:rsidR="00E92C8F" w:rsidRPr="00E92C8F">
        <w:rPr>
          <w:rFonts w:cs="Arial"/>
          <w:sz w:val="22"/>
          <w:szCs w:val="22"/>
        </w:rPr>
        <w:t>(Alert Emoji)</w:t>
      </w:r>
      <w:r w:rsidR="00E92C8F">
        <w:rPr>
          <w:rFonts w:cs="Arial"/>
          <w:sz w:val="22"/>
          <w:szCs w:val="22"/>
        </w:rPr>
        <w:t xml:space="preserve"> </w:t>
      </w:r>
      <w:r w:rsidR="00A441E8" w:rsidRPr="00A441E8">
        <w:rPr>
          <w:rFonts w:cs="Arial"/>
          <w:sz w:val="22"/>
          <w:szCs w:val="22"/>
        </w:rPr>
        <w:t>The meeting begins with an overview of medications for opioid use disorder and the federal policies affecting access to these meds. Tune in as staff discuss next steps for the Commission’s work in this area, insights from stakeholder interviews, and more. #Medicaid</w:t>
      </w:r>
      <w:r w:rsidR="00E37A33">
        <w:rPr>
          <w:rFonts w:cs="Arial"/>
          <w:sz w:val="22"/>
          <w:szCs w:val="22"/>
        </w:rPr>
        <w:t xml:space="preserve"> LINK</w:t>
      </w:r>
    </w:p>
    <w:p w14:paraId="325BE40D" w14:textId="36EA779B" w:rsidR="003141D6" w:rsidRPr="00D33009" w:rsidRDefault="003141D6" w:rsidP="00D33009">
      <w:pPr>
        <w:spacing w:after="0"/>
        <w:rPr>
          <w:rFonts w:cs="Arial"/>
          <w:color w:val="auto"/>
          <w:sz w:val="22"/>
          <w:szCs w:val="22"/>
        </w:rPr>
      </w:pPr>
    </w:p>
    <w:p w14:paraId="08C7C862" w14:textId="77777777" w:rsidR="000E00EE" w:rsidRPr="000E00EE" w:rsidRDefault="000E00EE" w:rsidP="000E00EE">
      <w:pPr>
        <w:spacing w:before="100" w:beforeAutospacing="1" w:after="100" w:afterAutospacing="1"/>
        <w:rPr>
          <w:rFonts w:ascii="Times New Roman" w:eastAsia="Times New Roman" w:hAnsi="Times New Roman"/>
          <w:color w:val="auto"/>
          <w:sz w:val="24"/>
          <w:szCs w:val="24"/>
        </w:rPr>
      </w:pPr>
      <w:r w:rsidRPr="000E00EE">
        <w:rPr>
          <w:rFonts w:ascii="Times New Roman" w:eastAsia="Times New Roman" w:hAnsi="Times New Roman"/>
          <w:noProof/>
          <w:color w:val="auto"/>
          <w:sz w:val="24"/>
          <w:szCs w:val="24"/>
        </w:rPr>
        <w:lastRenderedPageBreak/>
        <w:drawing>
          <wp:inline distT="0" distB="0" distL="0" distR="0" wp14:anchorId="735F1CC2" wp14:editId="432127B5">
            <wp:extent cx="5094488" cy="2665436"/>
            <wp:effectExtent l="0" t="0" r="0" b="1905"/>
            <wp:docPr id="6" name="Picture 6" descr="C:\Users\melanie.raible\Downloads\2024-October-Meeting-Tweets-MO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elanie.raible\Downloads\2024-October-Meeting-Tweets-MOUD.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09392" cy="2673234"/>
                    </a:xfrm>
                    <a:prstGeom prst="rect">
                      <a:avLst/>
                    </a:prstGeom>
                    <a:noFill/>
                    <a:ln>
                      <a:noFill/>
                    </a:ln>
                  </pic:spPr>
                </pic:pic>
              </a:graphicData>
            </a:graphic>
          </wp:inline>
        </w:drawing>
      </w:r>
    </w:p>
    <w:p w14:paraId="26191EDB" w14:textId="77777777" w:rsidR="00492E5B" w:rsidRDefault="00492E5B" w:rsidP="00D33009">
      <w:pPr>
        <w:rPr>
          <w:rFonts w:eastAsia="MS Gothic"/>
          <w:b/>
          <w:color w:val="003461"/>
          <w:spacing w:val="5"/>
          <w:kern w:val="28"/>
          <w:sz w:val="24"/>
          <w:szCs w:val="24"/>
        </w:rPr>
      </w:pPr>
    </w:p>
    <w:p w14:paraId="297A7F03" w14:textId="5B675447" w:rsidR="00492E5B" w:rsidRDefault="00492E5B" w:rsidP="00D33009">
      <w:pPr>
        <w:rPr>
          <w:rFonts w:eastAsia="MS Gothic"/>
          <w:b/>
          <w:color w:val="003461"/>
          <w:spacing w:val="5"/>
          <w:kern w:val="28"/>
          <w:sz w:val="24"/>
          <w:szCs w:val="24"/>
        </w:rPr>
      </w:pPr>
      <w:r w:rsidRPr="00492E5B">
        <w:rPr>
          <w:rFonts w:eastAsia="MS Gothic"/>
          <w:b/>
          <w:color w:val="003461"/>
          <w:spacing w:val="5"/>
          <w:kern w:val="28"/>
          <w:sz w:val="24"/>
          <w:szCs w:val="24"/>
        </w:rPr>
        <w:t>Timely Access to Home- and Community-Based Services: Provisional Plans of Care</w:t>
      </w:r>
    </w:p>
    <w:p w14:paraId="3C7B24A4" w14:textId="0447DEB9" w:rsidR="00492E5B" w:rsidRPr="00637CFC" w:rsidRDefault="00492E5B" w:rsidP="00492E5B">
      <w:pPr>
        <w:rPr>
          <w:rFonts w:cs="Arial"/>
          <w:color w:val="auto"/>
          <w:sz w:val="22"/>
          <w:szCs w:val="22"/>
        </w:rPr>
      </w:pPr>
      <w:r w:rsidRPr="00492E5B">
        <w:rPr>
          <w:rFonts w:cs="Arial"/>
          <w:color w:val="auto"/>
          <w:sz w:val="22"/>
          <w:szCs w:val="22"/>
        </w:rPr>
        <w:t>States have a number of ways in which they can expedite Medicaid eligibility determinations and enrollment for individuals in need of home- and community-based services (HCBS). This session focuse</w:t>
      </w:r>
      <w:r w:rsidR="009637FD">
        <w:rPr>
          <w:rFonts w:cs="Arial"/>
          <w:color w:val="auto"/>
          <w:sz w:val="22"/>
          <w:szCs w:val="22"/>
        </w:rPr>
        <w:t>d</w:t>
      </w:r>
      <w:r w:rsidRPr="00492E5B">
        <w:rPr>
          <w:rFonts w:cs="Arial"/>
          <w:color w:val="auto"/>
          <w:sz w:val="22"/>
          <w:szCs w:val="22"/>
        </w:rPr>
        <w:t xml:space="preserve"> specifically on the use of provisional plans of care in Section 1915(c) waivers, which are service plans that can be used in a person’s first 60 days of waiver eligibility while a complete person-centered service plan is being developed. MACPAC staff presented on the findings from a review of waivers containing language on provisional plans of care, as well as findings from interviews with state and federal officials, </w:t>
      </w:r>
      <w:r w:rsidR="009637FD">
        <w:rPr>
          <w:rFonts w:cs="Arial"/>
          <w:color w:val="auto"/>
          <w:sz w:val="22"/>
          <w:szCs w:val="22"/>
        </w:rPr>
        <w:t>and</w:t>
      </w:r>
      <w:r w:rsidR="0047545C">
        <w:rPr>
          <w:rFonts w:cs="Arial"/>
          <w:color w:val="auto"/>
          <w:sz w:val="22"/>
          <w:szCs w:val="22"/>
        </w:rPr>
        <w:t xml:space="preserve"> </w:t>
      </w:r>
      <w:r w:rsidRPr="00492E5B">
        <w:rPr>
          <w:rFonts w:cs="Arial"/>
          <w:color w:val="auto"/>
          <w:sz w:val="22"/>
          <w:szCs w:val="22"/>
        </w:rPr>
        <w:t xml:space="preserve">other national experts. Interviews indicated that provisional plans of care </w:t>
      </w:r>
      <w:r w:rsidRPr="00637CFC">
        <w:rPr>
          <w:rFonts w:cs="Arial"/>
          <w:color w:val="auto"/>
          <w:sz w:val="22"/>
          <w:szCs w:val="22"/>
        </w:rPr>
        <w:t>are rarely used, but when they are, it is most often for emergency situations.</w:t>
      </w:r>
    </w:p>
    <w:p w14:paraId="3092A9AD" w14:textId="40063995" w:rsidR="001655D6" w:rsidRDefault="003141D6" w:rsidP="00D33009">
      <w:pPr>
        <w:rPr>
          <w:rFonts w:cs="Arial"/>
          <w:color w:val="auto"/>
          <w:sz w:val="22"/>
          <w:szCs w:val="22"/>
        </w:rPr>
      </w:pPr>
      <w:r w:rsidRPr="00637CFC">
        <w:rPr>
          <w:rFonts w:cs="Arial"/>
          <w:b/>
          <w:color w:val="auto"/>
          <w:sz w:val="22"/>
          <w:szCs w:val="22"/>
        </w:rPr>
        <w:t>Social:</w:t>
      </w:r>
      <w:r w:rsidR="00637CFC" w:rsidRPr="00637CFC">
        <w:rPr>
          <w:rFonts w:cs="Arial"/>
          <w:color w:val="auto"/>
          <w:sz w:val="22"/>
          <w:szCs w:val="22"/>
        </w:rPr>
        <w:t xml:space="preserve"> </w:t>
      </w:r>
      <w:r w:rsidR="00E92C8F" w:rsidRPr="00637CFC">
        <w:rPr>
          <w:rFonts w:cs="Arial"/>
          <w:color w:val="auto"/>
          <w:sz w:val="22"/>
          <w:szCs w:val="22"/>
        </w:rPr>
        <w:t xml:space="preserve">This </w:t>
      </w:r>
      <w:r w:rsidR="00637CFC" w:rsidRPr="00637CFC">
        <w:rPr>
          <w:rFonts w:cs="Arial"/>
          <w:color w:val="auto"/>
          <w:sz w:val="22"/>
          <w:szCs w:val="22"/>
        </w:rPr>
        <w:t xml:space="preserve">next </w:t>
      </w:r>
      <w:r w:rsidR="00E92C8F" w:rsidRPr="00637CFC">
        <w:rPr>
          <w:rFonts w:cs="Arial"/>
          <w:color w:val="auto"/>
          <w:sz w:val="22"/>
          <w:szCs w:val="22"/>
        </w:rPr>
        <w:t>session focuses on the use of provisional plans of care in Section 1915(c) waivers</w:t>
      </w:r>
      <w:r w:rsidR="00637CFC" w:rsidRPr="00637CFC">
        <w:rPr>
          <w:rFonts w:cs="Arial"/>
          <w:color w:val="auto"/>
          <w:sz w:val="22"/>
          <w:szCs w:val="22"/>
        </w:rPr>
        <w:t xml:space="preserve">. </w:t>
      </w:r>
      <w:r w:rsidR="00E92C8F" w:rsidRPr="00637CFC">
        <w:rPr>
          <w:rFonts w:cs="Arial"/>
          <w:color w:val="auto"/>
          <w:sz w:val="22"/>
          <w:szCs w:val="22"/>
        </w:rPr>
        <w:t>Staff present findings</w:t>
      </w:r>
      <w:r w:rsidR="00637CFC" w:rsidRPr="00637CFC">
        <w:rPr>
          <w:rFonts w:cs="Arial"/>
          <w:color w:val="auto"/>
          <w:sz w:val="22"/>
          <w:szCs w:val="22"/>
        </w:rPr>
        <w:t xml:space="preserve"> from state and federal officials, as well as other national experts. Learn more!</w:t>
      </w:r>
      <w:r w:rsidR="009637FD">
        <w:rPr>
          <w:rFonts w:cs="Arial"/>
          <w:color w:val="auto"/>
          <w:sz w:val="22"/>
          <w:szCs w:val="22"/>
        </w:rPr>
        <w:t xml:space="preserve"> #Medicaid</w:t>
      </w:r>
      <w:r w:rsidR="00637CFC" w:rsidRPr="00637CFC">
        <w:rPr>
          <w:rFonts w:cs="Arial"/>
          <w:color w:val="auto"/>
          <w:sz w:val="22"/>
          <w:szCs w:val="22"/>
        </w:rPr>
        <w:t xml:space="preserve"> LINK</w:t>
      </w:r>
    </w:p>
    <w:p w14:paraId="2813EF35" w14:textId="77777777" w:rsidR="000E00EE" w:rsidRPr="000E00EE" w:rsidRDefault="000E00EE" w:rsidP="000E00EE">
      <w:pPr>
        <w:spacing w:before="100" w:beforeAutospacing="1" w:after="100" w:afterAutospacing="1"/>
        <w:rPr>
          <w:rFonts w:ascii="Times New Roman" w:eastAsia="Times New Roman" w:hAnsi="Times New Roman"/>
          <w:color w:val="auto"/>
          <w:sz w:val="24"/>
          <w:szCs w:val="24"/>
        </w:rPr>
      </w:pPr>
      <w:r w:rsidRPr="000E00EE">
        <w:rPr>
          <w:rFonts w:ascii="Times New Roman" w:eastAsia="Times New Roman" w:hAnsi="Times New Roman"/>
          <w:noProof/>
          <w:color w:val="auto"/>
          <w:sz w:val="24"/>
          <w:szCs w:val="24"/>
        </w:rPr>
        <w:lastRenderedPageBreak/>
        <w:drawing>
          <wp:inline distT="0" distB="0" distL="0" distR="0" wp14:anchorId="1FCC7FF9" wp14:editId="2A0A1112">
            <wp:extent cx="6597591" cy="3451860"/>
            <wp:effectExtent l="0" t="0" r="0" b="0"/>
            <wp:docPr id="7" name="Picture 7" descr="C:\Users\melanie.raible\Downloads\2024-October-Meeting-Tweets-HCB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elanie.raible\Downloads\2024-October-Meeting-Tweets-HCB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620739" cy="3463971"/>
                    </a:xfrm>
                    <a:prstGeom prst="rect">
                      <a:avLst/>
                    </a:prstGeom>
                    <a:noFill/>
                    <a:ln>
                      <a:noFill/>
                    </a:ln>
                  </pic:spPr>
                </pic:pic>
              </a:graphicData>
            </a:graphic>
          </wp:inline>
        </w:drawing>
      </w:r>
    </w:p>
    <w:p w14:paraId="2E860E80" w14:textId="77777777" w:rsidR="000E00EE" w:rsidRPr="00637CFC" w:rsidRDefault="000E00EE" w:rsidP="00D33009">
      <w:pPr>
        <w:rPr>
          <w:rFonts w:cs="Arial"/>
          <w:color w:val="auto"/>
          <w:sz w:val="22"/>
          <w:szCs w:val="22"/>
        </w:rPr>
      </w:pPr>
    </w:p>
    <w:p w14:paraId="7D986A3F" w14:textId="77777777" w:rsidR="00CD3698" w:rsidRPr="00637CFC" w:rsidRDefault="00CD3698" w:rsidP="00D33009">
      <w:pPr>
        <w:pStyle w:val="Title"/>
        <w:rPr>
          <w:sz w:val="22"/>
          <w:szCs w:val="22"/>
        </w:rPr>
      </w:pPr>
    </w:p>
    <w:p w14:paraId="06B3028D" w14:textId="77777777" w:rsidR="00492E5B" w:rsidRPr="00637CFC" w:rsidRDefault="00492E5B" w:rsidP="0068722D">
      <w:pPr>
        <w:rPr>
          <w:rFonts w:eastAsia="MS Gothic"/>
          <w:b/>
          <w:color w:val="003461"/>
          <w:spacing w:val="5"/>
          <w:kern w:val="28"/>
          <w:sz w:val="22"/>
          <w:szCs w:val="22"/>
        </w:rPr>
      </w:pPr>
      <w:r w:rsidRPr="00637CFC">
        <w:rPr>
          <w:rFonts w:eastAsia="MS Gothic"/>
          <w:b/>
          <w:color w:val="003461"/>
          <w:spacing w:val="5"/>
          <w:kern w:val="28"/>
          <w:sz w:val="22"/>
          <w:szCs w:val="22"/>
        </w:rPr>
        <w:t>Panel: Multi-Year Continuous Eligibility for Children</w:t>
      </w:r>
    </w:p>
    <w:p w14:paraId="55809554" w14:textId="49DBDE52" w:rsidR="00492E5B" w:rsidRPr="00637CFC" w:rsidRDefault="00492E5B" w:rsidP="00492E5B">
      <w:pPr>
        <w:rPr>
          <w:sz w:val="22"/>
          <w:szCs w:val="22"/>
        </w:rPr>
      </w:pPr>
      <w:r w:rsidRPr="00637CFC">
        <w:rPr>
          <w:sz w:val="22"/>
          <w:szCs w:val="22"/>
        </w:rPr>
        <w:t>During this session, an expert panel discussed policies and considerations for state Medicaid and CHIP multi-year continuous eligibility (CE) approaches, which are designed to mitigate churn. Churn occurs when individuals disenroll and re-enroll in health coverage within a short period of time, leading to disruptions in coverage. With the end of</w:t>
      </w:r>
      <w:r w:rsidR="009637FD">
        <w:rPr>
          <w:sz w:val="22"/>
          <w:szCs w:val="22"/>
        </w:rPr>
        <w:t xml:space="preserve"> the</w:t>
      </w:r>
      <w:r w:rsidRPr="00637CFC">
        <w:rPr>
          <w:sz w:val="22"/>
          <w:szCs w:val="22"/>
        </w:rPr>
        <w:t xml:space="preserve"> COVID-19 public health emergency continuous coverage requirement, states are resuming work on other priority areas, including how to prevent churn on a more routine basis. A few states have received </w:t>
      </w:r>
      <w:r w:rsidR="009637FD">
        <w:rPr>
          <w:sz w:val="22"/>
          <w:szCs w:val="22"/>
        </w:rPr>
        <w:t xml:space="preserve">Centers for Medicare &amp; Medicaid Services </w:t>
      </w:r>
      <w:r w:rsidRPr="00637CFC">
        <w:rPr>
          <w:sz w:val="22"/>
          <w:szCs w:val="22"/>
        </w:rPr>
        <w:t xml:space="preserve">approval to implement section 1115 demonstration programs to provide multi-year CE for children age 0 to 6 years, and several others have demonstration requests pending approval. Panelists described lessons learned about CE during the public health emergency, policy and programmatic considerations for designing and implementing multi-year CE policies, and factors that will be important in monitoring and evaluating the demonstrations. </w:t>
      </w:r>
    </w:p>
    <w:p w14:paraId="4A4DB290" w14:textId="77777777" w:rsidR="00492E5B" w:rsidRPr="00637CFC" w:rsidRDefault="00492E5B" w:rsidP="00492E5B">
      <w:pPr>
        <w:rPr>
          <w:sz w:val="22"/>
          <w:szCs w:val="22"/>
        </w:rPr>
      </w:pPr>
      <w:r w:rsidRPr="00637CFC">
        <w:rPr>
          <w:sz w:val="22"/>
          <w:szCs w:val="22"/>
        </w:rPr>
        <w:t>Panelists included:</w:t>
      </w:r>
    </w:p>
    <w:p w14:paraId="5E35371F" w14:textId="77777777" w:rsidR="00492E5B" w:rsidRPr="00637CFC" w:rsidRDefault="00492E5B" w:rsidP="00492E5B">
      <w:pPr>
        <w:pStyle w:val="ListParagraph"/>
        <w:numPr>
          <w:ilvl w:val="0"/>
          <w:numId w:val="4"/>
        </w:numPr>
        <w:rPr>
          <w:sz w:val="22"/>
          <w:szCs w:val="22"/>
        </w:rPr>
      </w:pPr>
      <w:r w:rsidRPr="00637CFC">
        <w:rPr>
          <w:sz w:val="22"/>
          <w:szCs w:val="22"/>
        </w:rPr>
        <w:t>Cindy Mann, JD, partner at Manatt Health</w:t>
      </w:r>
    </w:p>
    <w:p w14:paraId="1A03C402" w14:textId="77777777" w:rsidR="00492E5B" w:rsidRPr="00637CFC" w:rsidRDefault="00492E5B" w:rsidP="00492E5B">
      <w:pPr>
        <w:pStyle w:val="ListParagraph"/>
        <w:numPr>
          <w:ilvl w:val="0"/>
          <w:numId w:val="4"/>
        </w:numPr>
        <w:rPr>
          <w:sz w:val="22"/>
          <w:szCs w:val="22"/>
        </w:rPr>
      </w:pPr>
      <w:r w:rsidRPr="00637CFC">
        <w:rPr>
          <w:sz w:val="22"/>
          <w:szCs w:val="22"/>
        </w:rPr>
        <w:t>Emma Sandoe, PhD, MPH, Medicaid director with the Oregon Health Authority</w:t>
      </w:r>
    </w:p>
    <w:p w14:paraId="604BFDFC" w14:textId="0DC6A138" w:rsidR="00637CFC" w:rsidRPr="00637CFC" w:rsidRDefault="00492E5B" w:rsidP="00637CFC">
      <w:pPr>
        <w:pStyle w:val="ListParagraph"/>
        <w:numPr>
          <w:ilvl w:val="0"/>
          <w:numId w:val="4"/>
        </w:numPr>
        <w:rPr>
          <w:sz w:val="22"/>
          <w:szCs w:val="22"/>
        </w:rPr>
      </w:pPr>
      <w:r w:rsidRPr="00637CFC">
        <w:rPr>
          <w:sz w:val="22"/>
          <w:szCs w:val="22"/>
        </w:rPr>
        <w:lastRenderedPageBreak/>
        <w:t>Laura Barrie Smith, PhD, senior research associate in the Health Policy Center at the Urban Institute</w:t>
      </w:r>
    </w:p>
    <w:p w14:paraId="4DD3337C" w14:textId="5AA4CF4D" w:rsidR="00637CFC" w:rsidRDefault="003141D6" w:rsidP="00637CFC">
      <w:pPr>
        <w:rPr>
          <w:rFonts w:cs="Arial"/>
          <w:color w:val="auto"/>
          <w:sz w:val="22"/>
          <w:szCs w:val="22"/>
        </w:rPr>
      </w:pPr>
      <w:r w:rsidRPr="00CD3698">
        <w:rPr>
          <w:rFonts w:cs="Arial"/>
          <w:b/>
          <w:color w:val="auto"/>
          <w:sz w:val="22"/>
          <w:szCs w:val="22"/>
        </w:rPr>
        <w:t>Social:</w:t>
      </w:r>
      <w:r w:rsidRPr="003141D6">
        <w:rPr>
          <w:rFonts w:cs="Arial"/>
          <w:color w:val="auto"/>
          <w:sz w:val="22"/>
          <w:szCs w:val="22"/>
        </w:rPr>
        <w:t xml:space="preserve"> </w:t>
      </w:r>
      <w:r w:rsidR="00637CFC" w:rsidRPr="00637CFC">
        <w:rPr>
          <w:rFonts w:cs="Arial"/>
          <w:color w:val="auto"/>
          <w:sz w:val="22"/>
          <w:szCs w:val="22"/>
        </w:rPr>
        <w:t xml:space="preserve">HAPPENING NOW! (point emoji) Tune in for a special panel discussion on multi-year continuous eligibility for children. Hear insights from experts at </w:t>
      </w:r>
      <w:hyperlink r:id="rId11" w:history="1">
        <w:r w:rsidR="00637CFC" w:rsidRPr="00637CFC">
          <w:rPr>
            <w:rStyle w:val="Hyperlink"/>
            <w:rFonts w:cs="Arial"/>
            <w:sz w:val="22"/>
            <w:szCs w:val="22"/>
          </w:rPr>
          <w:t>@ManattHealth</w:t>
        </w:r>
      </w:hyperlink>
      <w:r w:rsidR="00637CFC" w:rsidRPr="00637CFC">
        <w:rPr>
          <w:rFonts w:cs="Arial"/>
          <w:color w:val="auto"/>
          <w:sz w:val="22"/>
          <w:szCs w:val="22"/>
        </w:rPr>
        <w:t>, </w:t>
      </w:r>
      <w:hyperlink r:id="rId12" w:history="1">
        <w:r w:rsidR="00637CFC" w:rsidRPr="00637CFC">
          <w:rPr>
            <w:rStyle w:val="Hyperlink"/>
            <w:rFonts w:cs="Arial"/>
            <w:sz w:val="22"/>
            <w:szCs w:val="22"/>
          </w:rPr>
          <w:t>@OHAOregon</w:t>
        </w:r>
      </w:hyperlink>
      <w:r w:rsidR="00637CFC" w:rsidRPr="00637CFC">
        <w:rPr>
          <w:rFonts w:cs="Arial"/>
          <w:color w:val="auto"/>
          <w:sz w:val="22"/>
          <w:szCs w:val="22"/>
        </w:rPr>
        <w:t xml:space="preserve">, and </w:t>
      </w:r>
      <w:hyperlink r:id="rId13" w:history="1">
        <w:r w:rsidR="00637CFC" w:rsidRPr="00637CFC">
          <w:rPr>
            <w:rStyle w:val="Hyperlink"/>
            <w:rFonts w:cs="Arial"/>
            <w:sz w:val="22"/>
            <w:szCs w:val="22"/>
          </w:rPr>
          <w:t>@urbaninstitute</w:t>
        </w:r>
      </w:hyperlink>
      <w:r w:rsidR="00637CFC" w:rsidRPr="00637CFC">
        <w:rPr>
          <w:rFonts w:cs="Arial"/>
          <w:color w:val="auto"/>
          <w:sz w:val="22"/>
          <w:szCs w:val="22"/>
        </w:rPr>
        <w:t>.</w:t>
      </w:r>
      <w:r w:rsidR="00F948F8">
        <w:rPr>
          <w:rFonts w:cs="Arial"/>
          <w:color w:val="auto"/>
          <w:sz w:val="22"/>
          <w:szCs w:val="22"/>
        </w:rPr>
        <w:t xml:space="preserve"> LINK</w:t>
      </w:r>
      <w:r w:rsidR="004B52B6">
        <w:rPr>
          <w:rFonts w:cs="Arial"/>
          <w:color w:val="auto"/>
          <w:sz w:val="22"/>
          <w:szCs w:val="22"/>
        </w:rPr>
        <w:t xml:space="preserve"> </w:t>
      </w:r>
      <w:r w:rsidR="009637FD">
        <w:rPr>
          <w:rFonts w:cs="Arial"/>
          <w:color w:val="auto"/>
          <w:sz w:val="22"/>
          <w:szCs w:val="22"/>
        </w:rPr>
        <w:t>#Medicaid #CHIP</w:t>
      </w:r>
    </w:p>
    <w:p w14:paraId="2F43DFBD" w14:textId="40662017" w:rsidR="00DB7232" w:rsidRPr="00DB7232" w:rsidRDefault="00DB7232" w:rsidP="00DB7232">
      <w:pPr>
        <w:rPr>
          <w:rFonts w:cs="Arial"/>
          <w:color w:val="auto"/>
          <w:sz w:val="22"/>
          <w:szCs w:val="22"/>
        </w:rPr>
      </w:pPr>
      <w:r w:rsidRPr="00DB7232">
        <w:rPr>
          <w:rFonts w:cs="Arial"/>
          <w:noProof/>
          <w:color w:val="auto"/>
          <w:sz w:val="22"/>
          <w:szCs w:val="22"/>
        </w:rPr>
        <w:drawing>
          <wp:inline distT="0" distB="0" distL="0" distR="0" wp14:anchorId="57BAAB20" wp14:editId="5AA24B38">
            <wp:extent cx="4754880" cy="2487753"/>
            <wp:effectExtent l="0" t="0" r="7620" b="8255"/>
            <wp:docPr id="4" name="Picture 4" descr="C:\Users\melanie.raible\Downloads\2024-October-Meeting-Tweets-Panel Discuss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elanie.raible\Downloads\2024-October-Meeting-Tweets-Panel Discussion.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75105" cy="2498335"/>
                    </a:xfrm>
                    <a:prstGeom prst="rect">
                      <a:avLst/>
                    </a:prstGeom>
                    <a:noFill/>
                    <a:ln>
                      <a:noFill/>
                    </a:ln>
                  </pic:spPr>
                </pic:pic>
              </a:graphicData>
            </a:graphic>
          </wp:inline>
        </w:drawing>
      </w:r>
    </w:p>
    <w:p w14:paraId="67CAD997" w14:textId="2F5C3D09" w:rsidR="00637CFC" w:rsidRPr="00637CFC" w:rsidRDefault="00DB7232" w:rsidP="00DB7232">
      <w:pPr>
        <w:rPr>
          <w:rFonts w:cs="Arial"/>
          <w:color w:val="auto"/>
          <w:sz w:val="22"/>
          <w:szCs w:val="22"/>
        </w:rPr>
      </w:pPr>
      <w:r w:rsidRPr="00DB7232">
        <w:rPr>
          <w:rFonts w:cs="Arial"/>
          <w:color w:val="auto"/>
          <w:sz w:val="22"/>
          <w:szCs w:val="22"/>
        </w:rPr>
        <w:t xml:space="preserve"> </w:t>
      </w:r>
    </w:p>
    <w:p w14:paraId="1423DECE" w14:textId="54D77FD5" w:rsidR="003141D6" w:rsidRPr="003141D6" w:rsidRDefault="003141D6" w:rsidP="0068722D">
      <w:pPr>
        <w:rPr>
          <w:rFonts w:cs="Arial"/>
          <w:color w:val="auto"/>
          <w:sz w:val="22"/>
          <w:szCs w:val="22"/>
        </w:rPr>
      </w:pPr>
    </w:p>
    <w:p w14:paraId="05605F84" w14:textId="77777777" w:rsidR="00637CFC" w:rsidRDefault="00637CFC" w:rsidP="00D33009">
      <w:pPr>
        <w:spacing w:after="0"/>
        <w:rPr>
          <w:rFonts w:eastAsia="MS Gothic"/>
          <w:b/>
          <w:color w:val="003461"/>
          <w:spacing w:val="5"/>
          <w:kern w:val="28"/>
          <w:sz w:val="24"/>
          <w:szCs w:val="24"/>
        </w:rPr>
      </w:pPr>
    </w:p>
    <w:p w14:paraId="1526E957" w14:textId="330296CF" w:rsidR="00492E5B" w:rsidRDefault="00492E5B" w:rsidP="00D33009">
      <w:pPr>
        <w:spacing w:after="0"/>
        <w:rPr>
          <w:rFonts w:eastAsia="MS Gothic"/>
          <w:b/>
          <w:color w:val="003461"/>
          <w:spacing w:val="5"/>
          <w:kern w:val="28"/>
          <w:sz w:val="24"/>
          <w:szCs w:val="24"/>
        </w:rPr>
      </w:pPr>
      <w:r w:rsidRPr="00492E5B">
        <w:rPr>
          <w:rFonts w:eastAsia="MS Gothic"/>
          <w:b/>
          <w:color w:val="003461"/>
          <w:spacing w:val="5"/>
          <w:kern w:val="28"/>
          <w:sz w:val="24"/>
          <w:szCs w:val="24"/>
        </w:rPr>
        <w:t>Youth Use of Residential Treatment Services: Federal and State Findings</w:t>
      </w:r>
    </w:p>
    <w:p w14:paraId="7354226D" w14:textId="77777777" w:rsidR="00492E5B" w:rsidRDefault="00492E5B" w:rsidP="00D33009">
      <w:pPr>
        <w:spacing w:after="0"/>
        <w:rPr>
          <w:rFonts w:cs="Arial"/>
          <w:color w:val="auto"/>
          <w:sz w:val="22"/>
          <w:szCs w:val="22"/>
        </w:rPr>
      </w:pPr>
    </w:p>
    <w:p w14:paraId="0B0C762F" w14:textId="6C6A2F01" w:rsidR="00637CFC" w:rsidRPr="00637CFC" w:rsidRDefault="00637CFC" w:rsidP="00637CFC">
      <w:pPr>
        <w:rPr>
          <w:rFonts w:cs="Arial"/>
          <w:color w:val="auto"/>
          <w:sz w:val="22"/>
          <w:szCs w:val="22"/>
        </w:rPr>
      </w:pPr>
      <w:r w:rsidRPr="00637CFC">
        <w:rPr>
          <w:rFonts w:cs="Arial"/>
          <w:color w:val="auto"/>
          <w:sz w:val="22"/>
          <w:szCs w:val="22"/>
        </w:rPr>
        <w:t>Medicaid supports a wide range of behavioral health services for children including residential treatment programs. Given ongoing concerns regarding access to behavioral health services, MACPAC is examining how Medicaid ensures that children and youth with serious behavioral health conditions appropriately access intensive services in residential settings if needed.</w:t>
      </w:r>
    </w:p>
    <w:p w14:paraId="19A15795" w14:textId="12ECDDC9" w:rsidR="00637CFC" w:rsidRPr="00637CFC" w:rsidRDefault="00637CFC" w:rsidP="00637CFC">
      <w:pPr>
        <w:rPr>
          <w:rFonts w:cs="Arial"/>
          <w:color w:val="auto"/>
          <w:sz w:val="22"/>
          <w:szCs w:val="22"/>
        </w:rPr>
      </w:pPr>
      <w:r w:rsidRPr="00637CFC">
        <w:rPr>
          <w:rFonts w:cs="Arial"/>
          <w:color w:val="auto"/>
          <w:sz w:val="22"/>
          <w:szCs w:val="22"/>
        </w:rPr>
        <w:t>This session provide</w:t>
      </w:r>
      <w:r w:rsidR="009637FD">
        <w:rPr>
          <w:rFonts w:cs="Arial"/>
          <w:color w:val="auto"/>
          <w:sz w:val="22"/>
          <w:szCs w:val="22"/>
        </w:rPr>
        <w:t>d</w:t>
      </w:r>
      <w:r w:rsidRPr="00637CFC">
        <w:rPr>
          <w:rFonts w:cs="Arial"/>
          <w:color w:val="auto"/>
          <w:sz w:val="22"/>
          <w:szCs w:val="22"/>
        </w:rPr>
        <w:t xml:space="preserve"> additional context for the Commission’s work on appropriate access to residential treatment services. Staff reviewed a convenience sample of publicly available state and federal reports that describe common barriers to appropriate access to residential services for youth with behavioral health needs. These reports note common challenges in serving youth with certain demographic, clinical, and functional characteristics, as well as difficulty accessing pre- and post-admission home- and community-based services. This work on appropriate access to children’s residential services is the first part of our ongoing focus on children’s behavioral health in this and future analytic cycles. </w:t>
      </w:r>
    </w:p>
    <w:p w14:paraId="63B4CB4C" w14:textId="762E2590" w:rsidR="003141D6" w:rsidRPr="009E347B" w:rsidRDefault="00637CFC" w:rsidP="00637CFC">
      <w:pPr>
        <w:rPr>
          <w:sz w:val="22"/>
        </w:rPr>
      </w:pPr>
      <w:r w:rsidRPr="00637CFC">
        <w:rPr>
          <w:b/>
          <w:sz w:val="22"/>
        </w:rPr>
        <w:t xml:space="preserve">Social: </w:t>
      </w:r>
      <w:r w:rsidRPr="00637CFC">
        <w:rPr>
          <w:sz w:val="22"/>
        </w:rPr>
        <w:t>Th</w:t>
      </w:r>
      <w:r w:rsidR="00E00B41">
        <w:rPr>
          <w:sz w:val="22"/>
        </w:rPr>
        <w:t>e</w:t>
      </w:r>
      <w:r w:rsidRPr="00637CFC">
        <w:rPr>
          <w:sz w:val="22"/>
        </w:rPr>
        <w:t xml:space="preserve"> </w:t>
      </w:r>
      <w:r>
        <w:rPr>
          <w:sz w:val="22"/>
        </w:rPr>
        <w:t xml:space="preserve">Commission </w:t>
      </w:r>
      <w:r w:rsidRPr="00637CFC">
        <w:rPr>
          <w:sz w:val="22"/>
        </w:rPr>
        <w:t>r</w:t>
      </w:r>
      <w:r w:rsidR="009E347B">
        <w:rPr>
          <w:sz w:val="22"/>
        </w:rPr>
        <w:t>eviews</w:t>
      </w:r>
      <w:r w:rsidRPr="00637CFC">
        <w:rPr>
          <w:sz w:val="22"/>
        </w:rPr>
        <w:t xml:space="preserve"> reports that describe common barriers to appropriate access to residential services for youth with behavioral health needs</w:t>
      </w:r>
      <w:r>
        <w:rPr>
          <w:sz w:val="22"/>
        </w:rPr>
        <w:t>. LINK</w:t>
      </w:r>
    </w:p>
    <w:p w14:paraId="7232B524" w14:textId="77777777" w:rsidR="00D33009" w:rsidRPr="00D33009" w:rsidRDefault="00D33009" w:rsidP="00D33009"/>
    <w:p w14:paraId="1E5C186C" w14:textId="5990E413" w:rsidR="00D33009" w:rsidRDefault="00D33009" w:rsidP="00D33009">
      <w:pPr>
        <w:pStyle w:val="Heading2"/>
      </w:pPr>
      <w:r>
        <w:lastRenderedPageBreak/>
        <w:t>Friday</w:t>
      </w:r>
      <w:r w:rsidRPr="00D33009">
        <w:t xml:space="preserve">, </w:t>
      </w:r>
      <w:r w:rsidR="00492E5B">
        <w:t>November</w:t>
      </w:r>
      <w:r w:rsidRPr="00D33009">
        <w:t xml:space="preserve"> </w:t>
      </w:r>
      <w:r w:rsidR="00492E5B">
        <w:t>1</w:t>
      </w:r>
      <w:r w:rsidRPr="00D33009">
        <w:t>, 2024</w:t>
      </w:r>
    </w:p>
    <w:p w14:paraId="268A88D7" w14:textId="77777777" w:rsidR="00492E5B" w:rsidRPr="00492E5B" w:rsidRDefault="00492E5B" w:rsidP="00492E5B"/>
    <w:p w14:paraId="09812B0A" w14:textId="77777777" w:rsidR="00492E5B" w:rsidRDefault="00492E5B" w:rsidP="0068722D">
      <w:pPr>
        <w:autoSpaceDE w:val="0"/>
        <w:autoSpaceDN w:val="0"/>
        <w:adjustRightInd w:val="0"/>
        <w:spacing w:after="0"/>
        <w:rPr>
          <w:rFonts w:eastAsia="MS Gothic"/>
          <w:b/>
          <w:color w:val="003461"/>
          <w:spacing w:val="5"/>
          <w:kern w:val="28"/>
          <w:sz w:val="24"/>
          <w:szCs w:val="24"/>
        </w:rPr>
      </w:pPr>
      <w:r w:rsidRPr="00492E5B">
        <w:rPr>
          <w:rFonts w:eastAsia="MS Gothic"/>
          <w:b/>
          <w:color w:val="003461"/>
          <w:spacing w:val="5"/>
          <w:kern w:val="28"/>
          <w:sz w:val="24"/>
          <w:szCs w:val="24"/>
        </w:rPr>
        <w:t>Managed Care External Quality Review Policy Options</w:t>
      </w:r>
    </w:p>
    <w:p w14:paraId="72379660" w14:textId="77777777" w:rsidR="00492E5B" w:rsidRDefault="00492E5B" w:rsidP="0068722D">
      <w:pPr>
        <w:autoSpaceDE w:val="0"/>
        <w:autoSpaceDN w:val="0"/>
        <w:adjustRightInd w:val="0"/>
        <w:spacing w:after="0"/>
        <w:rPr>
          <w:rFonts w:eastAsiaTheme="minorHAnsi" w:cs="Arial"/>
          <w:color w:val="auto"/>
          <w:sz w:val="22"/>
          <w:szCs w:val="22"/>
        </w:rPr>
      </w:pPr>
    </w:p>
    <w:p w14:paraId="2F4F077D" w14:textId="76B6FDDF" w:rsidR="00492E5B" w:rsidRPr="00492E5B" w:rsidRDefault="00492E5B" w:rsidP="00492E5B">
      <w:pPr>
        <w:rPr>
          <w:sz w:val="22"/>
        </w:rPr>
      </w:pPr>
      <w:r w:rsidRPr="00492E5B">
        <w:rPr>
          <w:sz w:val="22"/>
        </w:rPr>
        <w:t xml:space="preserve">During this meeting session, staff presented policy options for the external quality review (EQR) process as part of </w:t>
      </w:r>
      <w:r w:rsidR="009637FD">
        <w:rPr>
          <w:sz w:val="22"/>
        </w:rPr>
        <w:t xml:space="preserve">MACPAC’s </w:t>
      </w:r>
      <w:r w:rsidRPr="00492E5B">
        <w:rPr>
          <w:sz w:val="22"/>
        </w:rPr>
        <w:t xml:space="preserve">work on strengthening managed care oversight and accountability. </w:t>
      </w:r>
    </w:p>
    <w:p w14:paraId="05DF08BA" w14:textId="35B07877" w:rsidR="00492E5B" w:rsidRPr="00492E5B" w:rsidRDefault="00492E5B" w:rsidP="00492E5B">
      <w:pPr>
        <w:spacing w:after="0"/>
        <w:rPr>
          <w:sz w:val="22"/>
        </w:rPr>
      </w:pPr>
      <w:r w:rsidRPr="00492E5B">
        <w:rPr>
          <w:sz w:val="22"/>
        </w:rPr>
        <w:t xml:space="preserve">The 2024 Medicaid managed care rule requires the EQR annual technical report include any outcomes data and results from quantitative assessments of performance improvement plans, performance measures, and network adequacy. The requirement does not apply to the triennial compliance review. Also, the </w:t>
      </w:r>
      <w:r w:rsidR="009637FD">
        <w:rPr>
          <w:sz w:val="22"/>
        </w:rPr>
        <w:t>Centers for Medicare &amp; Medicaid Services (</w:t>
      </w:r>
      <w:r w:rsidRPr="00492E5B">
        <w:rPr>
          <w:sz w:val="22"/>
        </w:rPr>
        <w:t>CMS</w:t>
      </w:r>
      <w:r w:rsidR="009637FD">
        <w:rPr>
          <w:sz w:val="22"/>
        </w:rPr>
        <w:t>)</w:t>
      </w:r>
      <w:r w:rsidRPr="00492E5B">
        <w:rPr>
          <w:sz w:val="22"/>
        </w:rPr>
        <w:t xml:space="preserve"> protocol for the annual technical report does not include mandatory templates or requirements for standardized content that could improve the usability of EQR findings summarized in the reports. </w:t>
      </w:r>
    </w:p>
    <w:p w14:paraId="585E7187" w14:textId="77777777" w:rsidR="00492E5B" w:rsidRPr="00492E5B" w:rsidRDefault="00492E5B" w:rsidP="00492E5B">
      <w:pPr>
        <w:spacing w:after="0"/>
        <w:rPr>
          <w:sz w:val="22"/>
        </w:rPr>
      </w:pPr>
    </w:p>
    <w:p w14:paraId="3A363D75" w14:textId="65363A49" w:rsidR="00492E5B" w:rsidRPr="00492E5B" w:rsidRDefault="00492E5B" w:rsidP="00492E5B">
      <w:pPr>
        <w:rPr>
          <w:sz w:val="22"/>
        </w:rPr>
      </w:pPr>
      <w:r w:rsidRPr="00492E5B">
        <w:rPr>
          <w:sz w:val="22"/>
        </w:rPr>
        <w:t>The Commission discussed the findings from the prior work in light of the 2024 Medicaid managed care rule. Specifically,</w:t>
      </w:r>
      <w:r w:rsidR="009637FD">
        <w:rPr>
          <w:sz w:val="22"/>
        </w:rPr>
        <w:t xml:space="preserve"> the Commission examined</w:t>
      </w:r>
      <w:r w:rsidRPr="00492E5B">
        <w:rPr>
          <w:sz w:val="22"/>
        </w:rPr>
        <w:t xml:space="preserve"> </w:t>
      </w:r>
      <w:r w:rsidR="009637FD">
        <w:rPr>
          <w:sz w:val="22"/>
        </w:rPr>
        <w:t xml:space="preserve">whether </w:t>
      </w:r>
      <w:r w:rsidRPr="00492E5B">
        <w:rPr>
          <w:sz w:val="22"/>
        </w:rPr>
        <w:t>there were additional areas for improvement not addressed by the rule regarding how EQR could be structured to use outcomes data and improve the usability of EQR findings by CMS, states, and other stakeholders.</w:t>
      </w:r>
    </w:p>
    <w:p w14:paraId="53A11946" w14:textId="06ADBFA3" w:rsidR="00D33009" w:rsidRPr="00492E5B" w:rsidRDefault="00492E5B" w:rsidP="00895517">
      <w:pPr>
        <w:rPr>
          <w:sz w:val="22"/>
          <w:szCs w:val="22"/>
        </w:rPr>
      </w:pPr>
      <w:r w:rsidRPr="00492E5B">
        <w:rPr>
          <w:sz w:val="22"/>
        </w:rPr>
        <w:t xml:space="preserve">This session described key challenges with the current requirements for the EQR process, and explored policy options to address these challenges. Staff also solicited Commissioner feedback on </w:t>
      </w:r>
      <w:r w:rsidRPr="00492E5B">
        <w:rPr>
          <w:sz w:val="22"/>
          <w:szCs w:val="22"/>
        </w:rPr>
        <w:t xml:space="preserve">these policy options. </w:t>
      </w:r>
    </w:p>
    <w:p w14:paraId="5B621BC5" w14:textId="2D60AD84" w:rsidR="0027730F" w:rsidRDefault="003141D6" w:rsidP="007C04EC">
      <w:pPr>
        <w:rPr>
          <w:sz w:val="22"/>
          <w:szCs w:val="22"/>
        </w:rPr>
      </w:pPr>
      <w:r w:rsidRPr="00492E5B">
        <w:rPr>
          <w:b/>
          <w:sz w:val="22"/>
          <w:szCs w:val="22"/>
        </w:rPr>
        <w:t>Social:</w:t>
      </w:r>
      <w:r w:rsidRPr="00492E5B">
        <w:rPr>
          <w:sz w:val="22"/>
          <w:szCs w:val="22"/>
        </w:rPr>
        <w:t xml:space="preserve"> </w:t>
      </w:r>
      <w:r w:rsidR="00637CFC">
        <w:rPr>
          <w:sz w:val="22"/>
          <w:szCs w:val="22"/>
        </w:rPr>
        <w:t>Tune in as staff describ</w:t>
      </w:r>
      <w:r w:rsidR="001079A2">
        <w:rPr>
          <w:sz w:val="22"/>
          <w:szCs w:val="22"/>
        </w:rPr>
        <w:t>e</w:t>
      </w:r>
      <w:r w:rsidR="00637CFC">
        <w:rPr>
          <w:sz w:val="22"/>
          <w:szCs w:val="22"/>
        </w:rPr>
        <w:t xml:space="preserve"> key challenges with the current </w:t>
      </w:r>
      <w:r w:rsidR="00637CFC" w:rsidRPr="00637CFC">
        <w:rPr>
          <w:sz w:val="22"/>
          <w:szCs w:val="22"/>
        </w:rPr>
        <w:t>requirements for the external quality review process</w:t>
      </w:r>
      <w:r w:rsidR="009637FD">
        <w:rPr>
          <w:sz w:val="22"/>
          <w:szCs w:val="22"/>
        </w:rPr>
        <w:t xml:space="preserve"> in Medicaid managed care</w:t>
      </w:r>
      <w:r w:rsidR="00637CFC" w:rsidRPr="00637CFC">
        <w:rPr>
          <w:sz w:val="22"/>
          <w:szCs w:val="22"/>
        </w:rPr>
        <w:t xml:space="preserve">, </w:t>
      </w:r>
      <w:r w:rsidR="00637CFC">
        <w:rPr>
          <w:sz w:val="22"/>
          <w:szCs w:val="22"/>
        </w:rPr>
        <w:t>while the Commission</w:t>
      </w:r>
      <w:r w:rsidR="00637CFC" w:rsidRPr="00637CFC">
        <w:rPr>
          <w:sz w:val="22"/>
          <w:szCs w:val="22"/>
        </w:rPr>
        <w:t xml:space="preserve"> explor</w:t>
      </w:r>
      <w:r w:rsidR="00637CFC">
        <w:rPr>
          <w:sz w:val="22"/>
          <w:szCs w:val="22"/>
        </w:rPr>
        <w:t xml:space="preserve">es </w:t>
      </w:r>
      <w:r w:rsidR="00637CFC" w:rsidRPr="00637CFC">
        <w:rPr>
          <w:sz w:val="22"/>
          <w:szCs w:val="22"/>
        </w:rPr>
        <w:t>policy options to address these challenges.</w:t>
      </w:r>
      <w:r w:rsidR="00203CA2">
        <w:rPr>
          <w:sz w:val="22"/>
          <w:szCs w:val="22"/>
        </w:rPr>
        <w:t xml:space="preserve"> #Medicaid</w:t>
      </w:r>
      <w:r w:rsidR="00637CFC">
        <w:rPr>
          <w:sz w:val="22"/>
          <w:szCs w:val="22"/>
        </w:rPr>
        <w:t xml:space="preserve"> LINK</w:t>
      </w:r>
    </w:p>
    <w:p w14:paraId="1B34C9D4" w14:textId="0D515EEE" w:rsidR="00492E5B" w:rsidRPr="0027730F" w:rsidRDefault="000E00EE" w:rsidP="0027730F">
      <w:pPr>
        <w:spacing w:before="100" w:beforeAutospacing="1" w:after="100" w:afterAutospacing="1"/>
        <w:rPr>
          <w:rFonts w:ascii="Times New Roman" w:eastAsia="Times New Roman" w:hAnsi="Times New Roman"/>
          <w:color w:val="auto"/>
          <w:sz w:val="24"/>
          <w:szCs w:val="24"/>
        </w:rPr>
      </w:pPr>
      <w:r w:rsidRPr="000E00EE">
        <w:rPr>
          <w:rFonts w:ascii="Times New Roman" w:eastAsia="Times New Roman" w:hAnsi="Times New Roman"/>
          <w:noProof/>
          <w:color w:val="auto"/>
          <w:sz w:val="24"/>
          <w:szCs w:val="24"/>
        </w:rPr>
        <w:lastRenderedPageBreak/>
        <w:drawing>
          <wp:inline distT="0" distB="0" distL="0" distR="0" wp14:anchorId="2EC77CEC" wp14:editId="5F7084A1">
            <wp:extent cx="6187440" cy="3237270"/>
            <wp:effectExtent l="0" t="0" r="3810" b="1270"/>
            <wp:docPr id="2" name="Picture 2" descr="C:\Users\melanie.raible\Downloads\2024-October-Meeting-Tweets-EQ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elanie.raible\Downloads\2024-October-Meeting-Tweets-EQR.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66285" cy="3278522"/>
                    </a:xfrm>
                    <a:prstGeom prst="rect">
                      <a:avLst/>
                    </a:prstGeom>
                    <a:noFill/>
                    <a:ln>
                      <a:noFill/>
                    </a:ln>
                  </pic:spPr>
                </pic:pic>
              </a:graphicData>
            </a:graphic>
          </wp:inline>
        </w:drawing>
      </w:r>
    </w:p>
    <w:p w14:paraId="31815D9E" w14:textId="6C670079" w:rsidR="00492E5B" w:rsidRDefault="00492E5B" w:rsidP="00150C30">
      <w:pPr>
        <w:rPr>
          <w:rFonts w:eastAsia="MS Gothic"/>
          <w:b/>
          <w:color w:val="003461"/>
          <w:spacing w:val="5"/>
          <w:kern w:val="28"/>
          <w:sz w:val="24"/>
          <w:szCs w:val="24"/>
        </w:rPr>
      </w:pPr>
      <w:r w:rsidRPr="00492E5B">
        <w:rPr>
          <w:rFonts w:eastAsia="MS Gothic"/>
          <w:b/>
          <w:color w:val="003461"/>
          <w:spacing w:val="5"/>
          <w:kern w:val="28"/>
          <w:sz w:val="24"/>
          <w:szCs w:val="24"/>
        </w:rPr>
        <w:t>Transitions of Care for Children and Youth with Special Health Care Needs: Interview and Focus Group Findings</w:t>
      </w:r>
    </w:p>
    <w:p w14:paraId="27D99A8C" w14:textId="3A646BB0" w:rsidR="00492E5B" w:rsidRPr="00492E5B" w:rsidRDefault="00492E5B" w:rsidP="00492E5B">
      <w:pPr>
        <w:spacing w:after="0"/>
        <w:ind w:right="1323"/>
        <w:rPr>
          <w:sz w:val="22"/>
          <w:szCs w:val="22"/>
        </w:rPr>
      </w:pPr>
      <w:r w:rsidRPr="00492E5B">
        <w:rPr>
          <w:rFonts w:eastAsia="Times New Roman" w:cs="Arial"/>
          <w:sz w:val="22"/>
          <w:szCs w:val="22"/>
          <w:shd w:val="clear" w:color="auto" w:fill="FFFFFF"/>
        </w:rPr>
        <w:t>Medicaid plays a large role in covering health care services for children and youth with special health care needs (CYSHCN). As CYSHCN reach adulthood, they need to transition from child to adult coverage and health care, which can be challenging for beneficiaries and their families. Our work examined state transitions of care policy and beneficiary experiences when transitioning from pediatric to adult care.</w:t>
      </w:r>
      <w:r w:rsidRPr="00492E5B">
        <w:rPr>
          <w:sz w:val="22"/>
          <w:szCs w:val="22"/>
        </w:rPr>
        <w:t xml:space="preserve"> During our </w:t>
      </w:r>
      <w:hyperlink r:id="rId16" w:history="1">
        <w:r w:rsidRPr="009E347B">
          <w:rPr>
            <w:rStyle w:val="Hyperlink"/>
            <w:sz w:val="22"/>
            <w:szCs w:val="22"/>
          </w:rPr>
          <w:t>previous session in March</w:t>
        </w:r>
      </w:hyperlink>
      <w:r w:rsidRPr="00492E5B">
        <w:rPr>
          <w:sz w:val="22"/>
          <w:szCs w:val="22"/>
        </w:rPr>
        <w:t xml:space="preserve">, we presented findings from our </w:t>
      </w:r>
      <w:bookmarkStart w:id="1" w:name="_Hlk180746363"/>
      <w:r w:rsidRPr="00492E5B">
        <w:rPr>
          <w:sz w:val="22"/>
          <w:szCs w:val="22"/>
        </w:rPr>
        <w:t xml:space="preserve">federal and state policy scan and literature review. </w:t>
      </w:r>
      <w:bookmarkEnd w:id="1"/>
    </w:p>
    <w:p w14:paraId="620AA4C1" w14:textId="77777777" w:rsidR="00492E5B" w:rsidRPr="00492E5B" w:rsidRDefault="00492E5B" w:rsidP="00492E5B">
      <w:pPr>
        <w:spacing w:after="0"/>
        <w:ind w:right="1323"/>
        <w:rPr>
          <w:sz w:val="22"/>
          <w:szCs w:val="22"/>
        </w:rPr>
      </w:pPr>
    </w:p>
    <w:p w14:paraId="4D5F6D49" w14:textId="468A08C2" w:rsidR="00492E5B" w:rsidRPr="00492E5B" w:rsidRDefault="00492E5B" w:rsidP="00492E5B">
      <w:pPr>
        <w:spacing w:after="0"/>
        <w:ind w:right="1323"/>
        <w:rPr>
          <w:sz w:val="22"/>
          <w:szCs w:val="22"/>
        </w:rPr>
      </w:pPr>
      <w:r w:rsidRPr="00492E5B">
        <w:rPr>
          <w:sz w:val="22"/>
          <w:szCs w:val="22"/>
        </w:rPr>
        <w:t xml:space="preserve">This session </w:t>
      </w:r>
      <w:r w:rsidR="009637FD">
        <w:rPr>
          <w:sz w:val="22"/>
          <w:szCs w:val="22"/>
        </w:rPr>
        <w:t xml:space="preserve">provided </w:t>
      </w:r>
      <w:r w:rsidRPr="00492E5B">
        <w:rPr>
          <w:sz w:val="22"/>
          <w:szCs w:val="22"/>
        </w:rPr>
        <w:t xml:space="preserve">background information about CYSHCN and their transitions of care, including survey data findings from MACPAC’s recently-published </w:t>
      </w:r>
      <w:hyperlink r:id="rId17" w:history="1">
        <w:r w:rsidRPr="00492E5B">
          <w:rPr>
            <w:color w:val="175676"/>
            <w:sz w:val="22"/>
            <w:szCs w:val="22"/>
            <w:u w:val="single"/>
          </w:rPr>
          <w:t>Access in Brief</w:t>
        </w:r>
      </w:hyperlink>
      <w:r w:rsidRPr="00492E5B">
        <w:rPr>
          <w:sz w:val="22"/>
          <w:szCs w:val="22"/>
        </w:rPr>
        <w:t xml:space="preserve"> on CYSHCN, and findings from stakeholder interviews and beneficiary focus groups. We found that there is variation in how states operationalize their transition of care policies for CYSHCN, and in how beneficiaries and their families experience the transition process. </w:t>
      </w:r>
    </w:p>
    <w:p w14:paraId="60F055F2" w14:textId="77777777" w:rsidR="00492E5B" w:rsidRPr="00492E5B" w:rsidRDefault="00492E5B" w:rsidP="00492E5B">
      <w:pPr>
        <w:rPr>
          <w:sz w:val="22"/>
          <w:szCs w:val="22"/>
        </w:rPr>
      </w:pPr>
    </w:p>
    <w:p w14:paraId="2559CCA1" w14:textId="739E087B" w:rsidR="001655D6" w:rsidRPr="00492E5B" w:rsidRDefault="003141D6" w:rsidP="00492E5B">
      <w:pPr>
        <w:rPr>
          <w:sz w:val="22"/>
          <w:szCs w:val="22"/>
        </w:rPr>
      </w:pPr>
      <w:r w:rsidRPr="00492E5B">
        <w:rPr>
          <w:b/>
          <w:sz w:val="22"/>
          <w:szCs w:val="22"/>
        </w:rPr>
        <w:t>Social:</w:t>
      </w:r>
      <w:r w:rsidR="007C04EC" w:rsidRPr="00492E5B">
        <w:rPr>
          <w:sz w:val="22"/>
          <w:szCs w:val="22"/>
        </w:rPr>
        <w:t xml:space="preserve"> </w:t>
      </w:r>
      <w:r w:rsidR="00637CFC">
        <w:rPr>
          <w:sz w:val="22"/>
          <w:szCs w:val="22"/>
        </w:rPr>
        <w:t xml:space="preserve">This session provides background information on </w:t>
      </w:r>
      <w:r w:rsidR="000E58CB" w:rsidRPr="000E58CB">
        <w:rPr>
          <w:sz w:val="22"/>
          <w:szCs w:val="22"/>
        </w:rPr>
        <w:t>children and youth with special health care needs</w:t>
      </w:r>
      <w:r w:rsidR="000E58CB">
        <w:rPr>
          <w:sz w:val="22"/>
          <w:szCs w:val="22"/>
        </w:rPr>
        <w:t xml:space="preserve"> </w:t>
      </w:r>
      <w:r w:rsidR="000E58CB" w:rsidRPr="000E58CB">
        <w:rPr>
          <w:sz w:val="22"/>
          <w:szCs w:val="22"/>
        </w:rPr>
        <w:t xml:space="preserve">and their transitions of care, including survey data findings from MACPAC’s recently-published Access in Brief on </w:t>
      </w:r>
      <w:r w:rsidR="007222AA">
        <w:rPr>
          <w:sz w:val="22"/>
          <w:szCs w:val="22"/>
        </w:rPr>
        <w:t>#</w:t>
      </w:r>
      <w:r w:rsidR="000E58CB" w:rsidRPr="000E58CB">
        <w:rPr>
          <w:sz w:val="22"/>
          <w:szCs w:val="22"/>
        </w:rPr>
        <w:t>CYSHCN</w:t>
      </w:r>
      <w:r w:rsidR="000E58CB">
        <w:rPr>
          <w:sz w:val="22"/>
          <w:szCs w:val="22"/>
        </w:rPr>
        <w:t xml:space="preserve">. </w:t>
      </w:r>
      <w:r w:rsidR="000E58CB" w:rsidRPr="000E58CB">
        <w:rPr>
          <w:sz w:val="22"/>
          <w:szCs w:val="22"/>
        </w:rPr>
        <w:t>https://www.macpac.gov/publication/access-in-brief-children-and-youth-with-special-health-care-needs-2/</w:t>
      </w:r>
    </w:p>
    <w:p w14:paraId="284DDD24" w14:textId="78EA8949" w:rsidR="003141D6" w:rsidRPr="00D33009" w:rsidRDefault="003141D6" w:rsidP="00C810B4">
      <w:pPr>
        <w:rPr>
          <w:sz w:val="22"/>
          <w:szCs w:val="22"/>
        </w:rPr>
      </w:pPr>
    </w:p>
    <w:p w14:paraId="564A9D38" w14:textId="77777777" w:rsidR="00492E5B" w:rsidRDefault="00492E5B" w:rsidP="00B24EF4">
      <w:pPr>
        <w:shd w:val="clear" w:color="auto" w:fill="FFFFFF"/>
        <w:spacing w:after="0"/>
        <w:rPr>
          <w:rFonts w:eastAsia="MS Gothic"/>
          <w:b/>
          <w:color w:val="003461"/>
          <w:spacing w:val="5"/>
          <w:kern w:val="28"/>
          <w:sz w:val="24"/>
          <w:szCs w:val="24"/>
        </w:rPr>
      </w:pPr>
      <w:r w:rsidRPr="00492E5B">
        <w:rPr>
          <w:rFonts w:eastAsia="MS Gothic"/>
          <w:b/>
          <w:color w:val="003461"/>
          <w:spacing w:val="5"/>
          <w:kern w:val="28"/>
          <w:sz w:val="24"/>
          <w:szCs w:val="24"/>
        </w:rPr>
        <w:t>Directed Payments in Medicaid Managed Care</w:t>
      </w:r>
    </w:p>
    <w:p w14:paraId="16043F24" w14:textId="77777777" w:rsidR="00492E5B" w:rsidRDefault="00492E5B" w:rsidP="00B24EF4">
      <w:pPr>
        <w:shd w:val="clear" w:color="auto" w:fill="FFFFFF"/>
        <w:spacing w:after="0"/>
        <w:rPr>
          <w:rFonts w:cs="Arial"/>
          <w:color w:val="auto"/>
          <w:sz w:val="22"/>
          <w:szCs w:val="22"/>
        </w:rPr>
      </w:pPr>
    </w:p>
    <w:p w14:paraId="7B023BF9" w14:textId="7FE5033D" w:rsidR="00492E5B" w:rsidRPr="00BC0159" w:rsidRDefault="00492E5B" w:rsidP="00492E5B">
      <w:pPr>
        <w:rPr>
          <w:noProof/>
          <w:color w:val="auto"/>
          <w:sz w:val="22"/>
        </w:rPr>
      </w:pPr>
      <w:r w:rsidRPr="00BC0159">
        <w:rPr>
          <w:noProof/>
          <w:sz w:val="22"/>
        </w:rPr>
        <w:t xml:space="preserve">In 2016, the Centers for Medicare &amp; Medicaid Services (CMS) updated the regulations for Medicaid managed care and created a new option called directed payments for states, </w:t>
      </w:r>
      <w:r w:rsidRPr="00BC0159">
        <w:rPr>
          <w:noProof/>
          <w:color w:val="auto"/>
          <w:sz w:val="22"/>
        </w:rPr>
        <w:t xml:space="preserve">allowing them to direct managed care organizations (MCOs) to pay providers according to specific rates or methods. Since their initial implementation, directed payment arrangements have grown rapidly in both utilization and spending amounts. In our prior work, MACPAC reviewed directed payment arrangements approved up to February 2023 and made </w:t>
      </w:r>
      <w:r w:rsidRPr="00BC0159">
        <w:rPr>
          <w:noProof/>
          <w:sz w:val="22"/>
        </w:rPr>
        <w:t xml:space="preserve">recommendations for improving the transparency and oversight of directed payments in Chapter 2 of MACPAC’s June 2022 </w:t>
      </w:r>
      <w:hyperlink r:id="rId18" w:history="1">
        <w:r w:rsidRPr="00BC0159">
          <w:rPr>
            <w:i/>
            <w:color w:val="175676"/>
            <w:sz w:val="22"/>
            <w:szCs w:val="22"/>
            <w:u w:val="single"/>
          </w:rPr>
          <w:t>Report to Congress on Medicaid and CHIP</w:t>
        </w:r>
      </w:hyperlink>
      <w:r w:rsidRPr="00BC0159">
        <w:rPr>
          <w:color w:val="auto"/>
          <w:sz w:val="22"/>
        </w:rPr>
        <w:t xml:space="preserve">. To build off our prior work, we updated an </w:t>
      </w:r>
      <w:hyperlink r:id="rId19" w:history="1">
        <w:r w:rsidRPr="009E347B">
          <w:rPr>
            <w:rStyle w:val="Hyperlink"/>
            <w:sz w:val="22"/>
          </w:rPr>
          <w:t>issue brief</w:t>
        </w:r>
      </w:hyperlink>
      <w:r w:rsidRPr="00BC0159">
        <w:rPr>
          <w:color w:val="auto"/>
          <w:sz w:val="22"/>
        </w:rPr>
        <w:t xml:space="preserve"> that discusses </w:t>
      </w:r>
      <w:r w:rsidRPr="00BC0159">
        <w:rPr>
          <w:noProof/>
          <w:sz w:val="22"/>
        </w:rPr>
        <w:t xml:space="preserve">the history of directed payment policy, highlights changes made in the 2024 managed care rule, and examines the use of directed payments based on MACPAC’s review of directed payments approved between </w:t>
      </w:r>
      <w:r w:rsidRPr="00BC0159">
        <w:rPr>
          <w:sz w:val="22"/>
        </w:rPr>
        <w:t>February 1, 2023 and August 1, 2024. In this session, staff presented key findings from our updated analysis of directed payments and recent regulatory updates to the directed payment policy framework.</w:t>
      </w:r>
    </w:p>
    <w:p w14:paraId="12FE4388" w14:textId="6A7D47E5" w:rsidR="003141D6" w:rsidRDefault="003141D6" w:rsidP="00B24EF4">
      <w:pPr>
        <w:shd w:val="clear" w:color="auto" w:fill="FFFFFF"/>
        <w:spacing w:after="0"/>
        <w:rPr>
          <w:rFonts w:eastAsia="Times New Roman" w:cs="Arial"/>
          <w:color w:val="auto"/>
          <w:sz w:val="22"/>
          <w:szCs w:val="22"/>
        </w:rPr>
      </w:pPr>
    </w:p>
    <w:p w14:paraId="2A42A0C7" w14:textId="682F928C" w:rsidR="00CE57B9" w:rsidRDefault="003141D6" w:rsidP="00CE57B9">
      <w:pPr>
        <w:shd w:val="clear" w:color="auto" w:fill="FFFFFF"/>
        <w:spacing w:after="0"/>
        <w:rPr>
          <w:rFonts w:eastAsia="Times New Roman" w:cs="Arial"/>
          <w:color w:val="auto"/>
          <w:sz w:val="22"/>
          <w:szCs w:val="22"/>
        </w:rPr>
      </w:pPr>
      <w:r w:rsidRPr="00CD3698">
        <w:rPr>
          <w:rFonts w:eastAsia="Times New Roman" w:cs="Arial"/>
          <w:b/>
          <w:color w:val="auto"/>
          <w:sz w:val="22"/>
          <w:szCs w:val="22"/>
        </w:rPr>
        <w:t>Social:</w:t>
      </w:r>
      <w:r w:rsidR="007C04EC">
        <w:rPr>
          <w:rFonts w:eastAsia="Times New Roman" w:cs="Arial"/>
          <w:color w:val="auto"/>
          <w:sz w:val="22"/>
          <w:szCs w:val="22"/>
        </w:rPr>
        <w:t xml:space="preserve"> </w:t>
      </w:r>
      <w:r w:rsidR="000E58CB">
        <w:rPr>
          <w:rFonts w:eastAsia="Times New Roman" w:cs="Arial"/>
          <w:color w:val="auto"/>
          <w:sz w:val="22"/>
          <w:szCs w:val="22"/>
        </w:rPr>
        <w:t>S</w:t>
      </w:r>
      <w:r w:rsidR="000E58CB" w:rsidRPr="000E58CB">
        <w:rPr>
          <w:rFonts w:eastAsia="Times New Roman" w:cs="Arial"/>
          <w:color w:val="auto"/>
          <w:sz w:val="22"/>
          <w:szCs w:val="22"/>
        </w:rPr>
        <w:t xml:space="preserve">taff </w:t>
      </w:r>
      <w:r w:rsidR="000E58CB">
        <w:rPr>
          <w:rFonts w:eastAsia="Times New Roman" w:cs="Arial"/>
          <w:color w:val="auto"/>
          <w:sz w:val="22"/>
          <w:szCs w:val="22"/>
        </w:rPr>
        <w:t>present</w:t>
      </w:r>
      <w:r w:rsidR="000E58CB" w:rsidRPr="000E58CB">
        <w:rPr>
          <w:rFonts w:eastAsia="Times New Roman" w:cs="Arial"/>
          <w:color w:val="auto"/>
          <w:sz w:val="22"/>
          <w:szCs w:val="22"/>
        </w:rPr>
        <w:t xml:space="preserve"> key findings from our</w:t>
      </w:r>
      <w:r w:rsidR="000E58CB">
        <w:rPr>
          <w:rFonts w:eastAsia="Times New Roman" w:cs="Arial"/>
          <w:color w:val="auto"/>
          <w:sz w:val="22"/>
          <w:szCs w:val="22"/>
        </w:rPr>
        <w:t xml:space="preserve"> </w:t>
      </w:r>
      <w:r w:rsidR="000E58CB" w:rsidRPr="000E58CB">
        <w:rPr>
          <w:rFonts w:eastAsia="Times New Roman" w:cs="Arial"/>
          <w:color w:val="auto"/>
          <w:sz w:val="22"/>
          <w:szCs w:val="22"/>
        </w:rPr>
        <w:t>updated analysis of directed payments and recent regulatory updates to the directed payment policy framework</w:t>
      </w:r>
      <w:r w:rsidR="000E58CB">
        <w:rPr>
          <w:rFonts w:eastAsia="Times New Roman" w:cs="Arial"/>
          <w:color w:val="auto"/>
          <w:sz w:val="22"/>
          <w:szCs w:val="22"/>
        </w:rPr>
        <w:t xml:space="preserve">. </w:t>
      </w:r>
      <w:r w:rsidR="00F470EA">
        <w:rPr>
          <w:rFonts w:eastAsia="Times New Roman" w:cs="Arial"/>
          <w:color w:val="auto"/>
          <w:sz w:val="22"/>
          <w:szCs w:val="22"/>
        </w:rPr>
        <w:t xml:space="preserve">#Medicaid </w:t>
      </w:r>
      <w:hyperlink r:id="rId20" w:history="1">
        <w:r w:rsidR="007222AA" w:rsidRPr="00D74B82">
          <w:rPr>
            <w:rStyle w:val="Hyperlink"/>
            <w:rFonts w:eastAsia="Times New Roman" w:cs="Arial"/>
            <w:sz w:val="22"/>
            <w:szCs w:val="22"/>
          </w:rPr>
          <w:t>https://www.macpac.gov/publication/directed-payments-in-medicaid-managed-care/</w:t>
        </w:r>
      </w:hyperlink>
    </w:p>
    <w:p w14:paraId="293E2F8D" w14:textId="77777777" w:rsidR="0019642D" w:rsidRPr="00CE57B9" w:rsidRDefault="0019642D" w:rsidP="00CE57B9">
      <w:pPr>
        <w:shd w:val="clear" w:color="auto" w:fill="FFFFFF"/>
        <w:spacing w:after="0"/>
        <w:rPr>
          <w:rFonts w:eastAsia="Times New Roman" w:cs="Arial"/>
          <w:color w:val="auto"/>
          <w:sz w:val="22"/>
          <w:szCs w:val="22"/>
        </w:rPr>
      </w:pPr>
    </w:p>
    <w:p w14:paraId="2AA7361D" w14:textId="6D211730" w:rsidR="000E00EE" w:rsidRDefault="000E00EE" w:rsidP="000E00EE">
      <w:pPr>
        <w:rPr>
          <w:rFonts w:cs="Arial"/>
          <w:color w:val="auto"/>
          <w:sz w:val="22"/>
          <w:szCs w:val="22"/>
        </w:rPr>
      </w:pPr>
      <w:r w:rsidRPr="000E00EE">
        <w:rPr>
          <w:rFonts w:cs="Arial"/>
          <w:noProof/>
          <w:color w:val="auto"/>
          <w:sz w:val="22"/>
          <w:szCs w:val="22"/>
        </w:rPr>
        <w:drawing>
          <wp:inline distT="0" distB="0" distL="0" distR="0" wp14:anchorId="09EB8057" wp14:editId="42841E38">
            <wp:extent cx="5050438" cy="2642389"/>
            <wp:effectExtent l="0" t="0" r="0" b="5715"/>
            <wp:docPr id="5" name="Picture 5" descr="C:\Users\melanie.raible\Downloads\2024-October-Meeting-Tweets-Directed Payme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elanie.raible\Downloads\2024-October-Meeting-Tweets-Directed Payments.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64867" cy="2649938"/>
                    </a:xfrm>
                    <a:prstGeom prst="rect">
                      <a:avLst/>
                    </a:prstGeom>
                    <a:noFill/>
                    <a:ln>
                      <a:noFill/>
                    </a:ln>
                  </pic:spPr>
                </pic:pic>
              </a:graphicData>
            </a:graphic>
          </wp:inline>
        </w:drawing>
      </w:r>
    </w:p>
    <w:p w14:paraId="29837DE1" w14:textId="3480FAE1" w:rsidR="006A0A04" w:rsidRDefault="006A0A04" w:rsidP="000E00EE">
      <w:pPr>
        <w:rPr>
          <w:rFonts w:cs="Arial"/>
          <w:color w:val="auto"/>
          <w:sz w:val="22"/>
          <w:szCs w:val="22"/>
        </w:rPr>
      </w:pPr>
    </w:p>
    <w:p w14:paraId="532550EB" w14:textId="599E36A3" w:rsidR="006A0A04" w:rsidRDefault="006A0A04" w:rsidP="000E00EE">
      <w:pPr>
        <w:rPr>
          <w:rFonts w:cs="Arial"/>
          <w:color w:val="auto"/>
          <w:sz w:val="22"/>
          <w:szCs w:val="22"/>
        </w:rPr>
      </w:pPr>
    </w:p>
    <w:p w14:paraId="25A3014E" w14:textId="7350F576" w:rsidR="006A0A04" w:rsidRDefault="006A0A04" w:rsidP="000E00EE">
      <w:pPr>
        <w:rPr>
          <w:rFonts w:cs="Arial"/>
          <w:color w:val="auto"/>
          <w:sz w:val="22"/>
          <w:szCs w:val="22"/>
        </w:rPr>
      </w:pPr>
    </w:p>
    <w:p w14:paraId="03E5AECD" w14:textId="1D6F9690" w:rsidR="009E347B" w:rsidRDefault="009E347B" w:rsidP="000E00EE">
      <w:pPr>
        <w:rPr>
          <w:rFonts w:cs="Arial"/>
          <w:color w:val="auto"/>
          <w:sz w:val="22"/>
          <w:szCs w:val="22"/>
        </w:rPr>
      </w:pPr>
    </w:p>
    <w:p w14:paraId="5CEFCC9B" w14:textId="77777777" w:rsidR="009E347B" w:rsidRPr="000E00EE" w:rsidRDefault="009E347B" w:rsidP="000E00EE">
      <w:pPr>
        <w:rPr>
          <w:rFonts w:cs="Arial"/>
          <w:color w:val="auto"/>
          <w:sz w:val="22"/>
          <w:szCs w:val="22"/>
        </w:rPr>
      </w:pPr>
    </w:p>
    <w:p w14:paraId="489D443C" w14:textId="58C47C91" w:rsidR="00CE57B9" w:rsidRDefault="00CE57B9" w:rsidP="00B24EF4">
      <w:pPr>
        <w:rPr>
          <w:rFonts w:cs="Arial"/>
          <w:color w:val="auto"/>
          <w:sz w:val="22"/>
          <w:szCs w:val="22"/>
        </w:rPr>
      </w:pPr>
    </w:p>
    <w:p w14:paraId="2BA5D495" w14:textId="0FBA2603" w:rsidR="00CD3698" w:rsidRDefault="00CD3698" w:rsidP="00CD3698">
      <w:pPr>
        <w:rPr>
          <w:rFonts w:cs="Arial"/>
          <w:color w:val="auto"/>
          <w:sz w:val="22"/>
          <w:szCs w:val="22"/>
        </w:rPr>
      </w:pPr>
      <w:r w:rsidRPr="00CD3698">
        <w:rPr>
          <w:rFonts w:cs="Arial"/>
          <w:b/>
          <w:color w:val="auto"/>
          <w:sz w:val="22"/>
          <w:szCs w:val="22"/>
        </w:rPr>
        <w:lastRenderedPageBreak/>
        <w:t xml:space="preserve">Social: </w:t>
      </w:r>
      <w:r w:rsidRPr="00CD3698">
        <w:rPr>
          <w:rFonts w:cs="Arial"/>
          <w:color w:val="auto"/>
          <w:sz w:val="22"/>
          <w:szCs w:val="22"/>
        </w:rPr>
        <w:t>Missed our</w:t>
      </w:r>
      <w:r w:rsidR="009E347B">
        <w:rPr>
          <w:rFonts w:cs="Arial"/>
          <w:color w:val="auto"/>
          <w:sz w:val="22"/>
          <w:szCs w:val="22"/>
        </w:rPr>
        <w:t xml:space="preserve"> </w:t>
      </w:r>
      <w:r w:rsidRPr="00CD3698">
        <w:rPr>
          <w:rFonts w:cs="Arial"/>
          <w:color w:val="auto"/>
          <w:sz w:val="22"/>
          <w:szCs w:val="22"/>
        </w:rPr>
        <w:t>meeting? No worries! You can find all of the presentations here on our site:</w:t>
      </w:r>
      <w:r>
        <w:rPr>
          <w:rFonts w:cs="Arial"/>
          <w:color w:val="auto"/>
          <w:sz w:val="22"/>
          <w:szCs w:val="22"/>
        </w:rPr>
        <w:t xml:space="preserve"> </w:t>
      </w:r>
      <w:r w:rsidRPr="00CD3698">
        <w:rPr>
          <w:rFonts w:cs="Arial"/>
          <w:color w:val="auto"/>
          <w:sz w:val="22"/>
          <w:szCs w:val="22"/>
        </w:rPr>
        <w:t>LINK</w:t>
      </w:r>
    </w:p>
    <w:p w14:paraId="61B6CCBF" w14:textId="7975CB00" w:rsidR="00CD3698" w:rsidRDefault="00CD3698" w:rsidP="00CD3698">
      <w:pPr>
        <w:rPr>
          <w:rFonts w:cs="Arial"/>
          <w:color w:val="auto"/>
          <w:sz w:val="22"/>
          <w:szCs w:val="22"/>
        </w:rPr>
      </w:pPr>
      <w:r w:rsidRPr="00A206CC">
        <w:rPr>
          <w:noProof/>
          <w:szCs w:val="22"/>
        </w:rPr>
        <w:drawing>
          <wp:inline distT="0" distB="0" distL="0" distR="0" wp14:anchorId="3E88604A" wp14:editId="6577F395">
            <wp:extent cx="3395127" cy="1775460"/>
            <wp:effectExtent l="0" t="0" r="0" b="0"/>
            <wp:docPr id="11" name="Picture 11" descr="Find all presentations at MACPAC.gov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nd all presentations at MACPAC.gov "/>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26291" cy="1791757"/>
                    </a:xfrm>
                    <a:prstGeom prst="rect">
                      <a:avLst/>
                    </a:prstGeom>
                    <a:noFill/>
                    <a:ln>
                      <a:noFill/>
                    </a:ln>
                  </pic:spPr>
                </pic:pic>
              </a:graphicData>
            </a:graphic>
          </wp:inline>
        </w:drawing>
      </w:r>
    </w:p>
    <w:p w14:paraId="36F9ABA6" w14:textId="77777777" w:rsidR="006A0A04" w:rsidRDefault="006A0A04" w:rsidP="00CD3698">
      <w:pPr>
        <w:rPr>
          <w:rFonts w:cs="Arial"/>
          <w:color w:val="auto"/>
          <w:sz w:val="22"/>
          <w:szCs w:val="22"/>
        </w:rPr>
      </w:pPr>
    </w:p>
    <w:p w14:paraId="5DDCBD95" w14:textId="77777777" w:rsidR="00CD3698" w:rsidRPr="00CD3698" w:rsidRDefault="00CD3698" w:rsidP="00CD3698">
      <w:pPr>
        <w:rPr>
          <w:rFonts w:cs="Arial"/>
          <w:color w:val="auto"/>
          <w:sz w:val="22"/>
          <w:szCs w:val="22"/>
        </w:rPr>
      </w:pPr>
    </w:p>
    <w:p w14:paraId="740C0BF6" w14:textId="5DC9F78C" w:rsidR="00CD3698" w:rsidRPr="00CD3698" w:rsidRDefault="00CD3698" w:rsidP="00CD3698">
      <w:pPr>
        <w:rPr>
          <w:rFonts w:cs="Arial"/>
          <w:b/>
          <w:color w:val="auto"/>
          <w:sz w:val="22"/>
          <w:szCs w:val="22"/>
        </w:rPr>
      </w:pPr>
      <w:r w:rsidRPr="00CD3698">
        <w:rPr>
          <w:rFonts w:cs="Arial"/>
          <w:b/>
          <w:color w:val="auto"/>
          <w:sz w:val="22"/>
          <w:szCs w:val="22"/>
        </w:rPr>
        <w:t xml:space="preserve">Week of the </w:t>
      </w:r>
      <w:r w:rsidR="00492E5B">
        <w:rPr>
          <w:rFonts w:cs="Arial"/>
          <w:b/>
          <w:color w:val="auto"/>
          <w:sz w:val="22"/>
          <w:szCs w:val="22"/>
        </w:rPr>
        <w:t>11th</w:t>
      </w:r>
      <w:r w:rsidRPr="00CD3698">
        <w:rPr>
          <w:rFonts w:cs="Arial"/>
          <w:b/>
          <w:color w:val="auto"/>
          <w:sz w:val="22"/>
          <w:szCs w:val="22"/>
        </w:rPr>
        <w:t xml:space="preserve"> </w:t>
      </w:r>
      <w:r>
        <w:rPr>
          <w:rFonts w:cs="Arial"/>
          <w:b/>
          <w:color w:val="auto"/>
          <w:sz w:val="22"/>
          <w:szCs w:val="22"/>
        </w:rPr>
        <w:t>Social</w:t>
      </w:r>
      <w:r w:rsidRPr="00CD3698">
        <w:rPr>
          <w:rFonts w:cs="Arial"/>
          <w:b/>
          <w:color w:val="auto"/>
          <w:sz w:val="22"/>
          <w:szCs w:val="22"/>
        </w:rPr>
        <w:t xml:space="preserve">: </w:t>
      </w:r>
      <w:r w:rsidRPr="00CD3698">
        <w:rPr>
          <w:rFonts w:cs="Arial"/>
          <w:color w:val="auto"/>
          <w:sz w:val="22"/>
          <w:szCs w:val="22"/>
        </w:rPr>
        <w:t>Missed our meeting? We’ve got the transcript here! LINK</w:t>
      </w:r>
    </w:p>
    <w:p w14:paraId="04EBBB7E" w14:textId="3AE728FC" w:rsidR="00CD3698" w:rsidRPr="00CD3698" w:rsidRDefault="00CD3698" w:rsidP="00B24EF4">
      <w:pPr>
        <w:rPr>
          <w:rFonts w:cs="Arial"/>
          <w:color w:val="auto"/>
          <w:sz w:val="22"/>
          <w:szCs w:val="22"/>
        </w:rPr>
      </w:pPr>
    </w:p>
    <w:sectPr w:rsidR="00CD3698" w:rsidRPr="00CD3698" w:rsidSect="00DB2F50">
      <w:headerReference w:type="even" r:id="rId23"/>
      <w:headerReference w:type="default" r:id="rId24"/>
      <w:headerReference w:type="first" r:id="rId25"/>
      <w:endnotePr>
        <w:numFmt w:val="decimal"/>
      </w:endnotePr>
      <w:pgSz w:w="12240" w:h="15840"/>
      <w:pgMar w:top="1800" w:right="1080" w:bottom="1728" w:left="1080" w:header="720" w:footer="1662" w:gutter="0"/>
      <w:cols w:space="720"/>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5C3920" w14:textId="77777777" w:rsidR="001B484B" w:rsidRDefault="001B484B">
      <w:pPr>
        <w:spacing w:after="0"/>
      </w:pPr>
      <w:r>
        <w:separator/>
      </w:r>
    </w:p>
  </w:endnote>
  <w:endnote w:type="continuationSeparator" w:id="0">
    <w:p w14:paraId="44EB2B44" w14:textId="77777777" w:rsidR="001B484B" w:rsidRDefault="001B484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C60842" w14:textId="77777777" w:rsidR="001B484B" w:rsidRDefault="001B484B">
      <w:pPr>
        <w:spacing w:after="0"/>
      </w:pPr>
      <w:r>
        <w:separator/>
      </w:r>
    </w:p>
  </w:footnote>
  <w:footnote w:type="continuationSeparator" w:id="0">
    <w:p w14:paraId="5A799941" w14:textId="77777777" w:rsidR="001B484B" w:rsidRDefault="001B484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B58808" w14:textId="77777777" w:rsidR="00023C24" w:rsidRDefault="00B24EF4" w:rsidP="00EB3046">
    <w:pPr>
      <w:pStyle w:val="Header"/>
    </w:pPr>
    <w:r>
      <w:rPr>
        <w:noProof/>
      </w:rPr>
      <w:drawing>
        <wp:anchor distT="0" distB="0" distL="114300" distR="114300" simplePos="0" relativeHeight="251659264" behindDoc="1" locked="0" layoutInCell="1" allowOverlap="1" wp14:anchorId="469EF05C" wp14:editId="5A77E3BE">
          <wp:simplePos x="0" y="0"/>
          <wp:positionH relativeFrom="page">
            <wp:posOffset>-25400</wp:posOffset>
          </wp:positionH>
          <wp:positionV relativeFrom="page">
            <wp:posOffset>-12700</wp:posOffset>
          </wp:positionV>
          <wp:extent cx="7763256" cy="10040112"/>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_header_website_footer.png"/>
                  <pic:cNvPicPr/>
                </pic:nvPicPr>
                <pic:blipFill>
                  <a:blip r:embed="rId1">
                    <a:extLst>
                      <a:ext uri="{28A0092B-C50C-407E-A947-70E740481C1C}">
                        <a14:useLocalDpi xmlns:a14="http://schemas.microsoft.com/office/drawing/2010/main" val="0"/>
                      </a:ext>
                    </a:extLst>
                  </a:blip>
                  <a:stretch>
                    <a:fillRect/>
                  </a:stretch>
                </pic:blipFill>
                <pic:spPr>
                  <a:xfrm>
                    <a:off x="0" y="0"/>
                    <a:ext cx="7763256" cy="10040112"/>
                  </a:xfrm>
                  <a:prstGeom prst="rect">
                    <a:avLst/>
                  </a:prstGeom>
                </pic:spPr>
              </pic:pic>
            </a:graphicData>
          </a:graphic>
          <wp14:sizeRelH relativeFrom="margin">
            <wp14:pctWidth>0</wp14:pctWidth>
          </wp14:sizeRelH>
          <wp14:sizeRelV relativeFrom="margin">
            <wp14:pctHeight>0</wp14:pctHeight>
          </wp14:sizeRelV>
        </wp:anchor>
      </w:drawing>
    </w:r>
  </w:p>
  <w:p w14:paraId="20303BE1" w14:textId="77777777" w:rsidR="00023C24" w:rsidRPr="001F29E1" w:rsidRDefault="00B24EF4" w:rsidP="00EB3046">
    <w:pPr>
      <w:pStyle w:val="Header"/>
    </w:pPr>
    <w:r>
      <w:fldChar w:fldCharType="begin"/>
    </w:r>
    <w:r>
      <w:instrText xml:space="preserve"> PAGE   \* MERGEFORMAT </w:instrText>
    </w:r>
    <w:r>
      <w:fldChar w:fldCharType="separate"/>
    </w:r>
    <w:r>
      <w:rPr>
        <w:noProof/>
      </w:rPr>
      <w:t>2</w:t>
    </w:r>
    <w:r>
      <w:rPr>
        <w:noProof/>
      </w:rPr>
      <w:fldChar w:fldCharType="end"/>
    </w:r>
  </w:p>
  <w:p w14:paraId="7575D737" w14:textId="77777777" w:rsidR="00023C24" w:rsidRDefault="001B484B" w:rsidP="00EB3046"/>
  <w:p w14:paraId="44CE46D3" w14:textId="77777777" w:rsidR="00023C24" w:rsidRDefault="001B484B" w:rsidP="00EB30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95502364"/>
      <w:docPartObj>
        <w:docPartGallery w:val="Page Numbers (Top of Page)"/>
        <w:docPartUnique/>
      </w:docPartObj>
    </w:sdtPr>
    <w:sdtEndPr>
      <w:rPr>
        <w:noProof/>
      </w:rPr>
    </w:sdtEndPr>
    <w:sdtContent>
      <w:p w14:paraId="1F63AE4F" w14:textId="77777777" w:rsidR="00CE371E" w:rsidRDefault="00B24EF4">
        <w:pPr>
          <w:pStyle w:val="Header"/>
          <w:jc w:val="right"/>
        </w:pPr>
        <w:r>
          <w:rPr>
            <w:noProof/>
          </w:rPr>
          <w:drawing>
            <wp:anchor distT="0" distB="0" distL="114300" distR="114300" simplePos="0" relativeHeight="251660288" behindDoc="1" locked="0" layoutInCell="1" allowOverlap="1" wp14:anchorId="4468E68F" wp14:editId="0761E36E">
              <wp:simplePos x="0" y="0"/>
              <wp:positionH relativeFrom="column">
                <wp:posOffset>-114300</wp:posOffset>
              </wp:positionH>
              <wp:positionV relativeFrom="paragraph">
                <wp:posOffset>-107950</wp:posOffset>
              </wp:positionV>
              <wp:extent cx="2032635" cy="615950"/>
              <wp:effectExtent l="0" t="0" r="5715"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CPAC-Primary-WORD-HEADER-01.jpg"/>
                      <pic:cNvPicPr/>
                    </pic:nvPicPr>
                    <pic:blipFill>
                      <a:blip r:embed="rId1"/>
                      <a:stretch>
                        <a:fillRect/>
                      </a:stretch>
                    </pic:blipFill>
                    <pic:spPr>
                      <a:xfrm>
                        <a:off x="0" y="0"/>
                        <a:ext cx="2032635" cy="615950"/>
                      </a:xfrm>
                      <a:prstGeom prst="rect">
                        <a:avLst/>
                      </a:prstGeom>
                    </pic:spPr>
                  </pic:pic>
                </a:graphicData>
              </a:graphic>
              <wp14:sizeRelH relativeFrom="margin">
                <wp14:pctWidth>0</wp14:pctWidth>
              </wp14:sizeRelH>
              <wp14:sizeRelV relativeFrom="margin">
                <wp14:pctHeight>0</wp14:pctHeight>
              </wp14:sizeRelV>
            </wp:anchor>
          </w:drawing>
        </w:r>
        <w:r>
          <w:fldChar w:fldCharType="begin"/>
        </w:r>
        <w:r>
          <w:instrText xml:space="preserve"> PAGE   \* MERGEFORMAT </w:instrText>
        </w:r>
        <w:r>
          <w:fldChar w:fldCharType="separate"/>
        </w:r>
        <w:r>
          <w:rPr>
            <w:noProof/>
          </w:rPr>
          <w:t>2</w:t>
        </w:r>
        <w:r>
          <w:rPr>
            <w:noProof/>
          </w:rPr>
          <w:fldChar w:fldCharType="end"/>
        </w:r>
      </w:p>
    </w:sdtContent>
  </w:sdt>
  <w:p w14:paraId="4E22C39F" w14:textId="77777777" w:rsidR="00023C24" w:rsidRDefault="00B24EF4" w:rsidP="007F618D">
    <w:pPr>
      <w:pStyle w:val="Header"/>
      <w:tabs>
        <w:tab w:val="clear" w:pos="4320"/>
        <w:tab w:val="clear" w:pos="8640"/>
        <w:tab w:val="left" w:pos="445"/>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38B02D" w14:textId="77777777" w:rsidR="00023C24" w:rsidRDefault="00B24EF4" w:rsidP="00EB3046">
    <w:pPr>
      <w:pStyle w:val="Header"/>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3003F8"/>
    <w:multiLevelType w:val="hybridMultilevel"/>
    <w:tmpl w:val="D1903C10"/>
    <w:lvl w:ilvl="0" w:tplc="B45CA43E">
      <w:start w:val="1"/>
      <w:numFmt w:val="bullet"/>
      <w:pStyle w:val="ListParagraph"/>
      <w:lvlText w:val=""/>
      <w:lvlJc w:val="left"/>
      <w:pPr>
        <w:ind w:left="360" w:hanging="360"/>
      </w:pPr>
      <w:rPr>
        <w:rFonts w:ascii="Symbol" w:hAnsi="Symbol" w:hint="default"/>
        <w:color w:val="5B9BD5" w:themeColor="accent5"/>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14C40F5"/>
    <w:multiLevelType w:val="hybridMultilevel"/>
    <w:tmpl w:val="4B52F2DE"/>
    <w:lvl w:ilvl="0" w:tplc="FC68D1E2">
      <w:start w:val="1915"/>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4CA1684"/>
    <w:multiLevelType w:val="hybridMultilevel"/>
    <w:tmpl w:val="D1F43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EDB5AA4"/>
    <w:multiLevelType w:val="hybridMultilevel"/>
    <w:tmpl w:val="158618DC"/>
    <w:lvl w:ilvl="0" w:tplc="318C249E">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2F50"/>
    <w:rsid w:val="00035725"/>
    <w:rsid w:val="000502F8"/>
    <w:rsid w:val="00054C39"/>
    <w:rsid w:val="0009115F"/>
    <w:rsid w:val="000B1172"/>
    <w:rsid w:val="000E00EE"/>
    <w:rsid w:val="000E58CB"/>
    <w:rsid w:val="000F3DB4"/>
    <w:rsid w:val="00104252"/>
    <w:rsid w:val="001079A2"/>
    <w:rsid w:val="001655D6"/>
    <w:rsid w:val="0019642D"/>
    <w:rsid w:val="001B484B"/>
    <w:rsid w:val="00203CA2"/>
    <w:rsid w:val="0027730F"/>
    <w:rsid w:val="002B22E8"/>
    <w:rsid w:val="002C1491"/>
    <w:rsid w:val="00312A85"/>
    <w:rsid w:val="003141D6"/>
    <w:rsid w:val="003571A4"/>
    <w:rsid w:val="003A4234"/>
    <w:rsid w:val="003E08F5"/>
    <w:rsid w:val="004241F4"/>
    <w:rsid w:val="00426A13"/>
    <w:rsid w:val="0047545C"/>
    <w:rsid w:val="00492E5B"/>
    <w:rsid w:val="004B217B"/>
    <w:rsid w:val="004B52B6"/>
    <w:rsid w:val="00522A0C"/>
    <w:rsid w:val="00562884"/>
    <w:rsid w:val="00637CFC"/>
    <w:rsid w:val="00683BCB"/>
    <w:rsid w:val="00692128"/>
    <w:rsid w:val="006A0A04"/>
    <w:rsid w:val="006A1EA6"/>
    <w:rsid w:val="007222AA"/>
    <w:rsid w:val="007C04EC"/>
    <w:rsid w:val="00925C1A"/>
    <w:rsid w:val="0092727B"/>
    <w:rsid w:val="009637FD"/>
    <w:rsid w:val="009E347B"/>
    <w:rsid w:val="00A441E8"/>
    <w:rsid w:val="00A4711B"/>
    <w:rsid w:val="00A548B8"/>
    <w:rsid w:val="00AD726D"/>
    <w:rsid w:val="00B24EF4"/>
    <w:rsid w:val="00BA7810"/>
    <w:rsid w:val="00BC0159"/>
    <w:rsid w:val="00BD5DC1"/>
    <w:rsid w:val="00BE58FA"/>
    <w:rsid w:val="00C444A7"/>
    <w:rsid w:val="00CD3698"/>
    <w:rsid w:val="00CE57B9"/>
    <w:rsid w:val="00D01A1A"/>
    <w:rsid w:val="00D22B59"/>
    <w:rsid w:val="00D33009"/>
    <w:rsid w:val="00D51F2D"/>
    <w:rsid w:val="00D841F9"/>
    <w:rsid w:val="00D970BF"/>
    <w:rsid w:val="00DB2F50"/>
    <w:rsid w:val="00DB7232"/>
    <w:rsid w:val="00E00B41"/>
    <w:rsid w:val="00E37A33"/>
    <w:rsid w:val="00E72CD0"/>
    <w:rsid w:val="00E92C8F"/>
    <w:rsid w:val="00E97C43"/>
    <w:rsid w:val="00F25B48"/>
    <w:rsid w:val="00F470EA"/>
    <w:rsid w:val="00F5342A"/>
    <w:rsid w:val="00F667C9"/>
    <w:rsid w:val="00F948F8"/>
    <w:rsid w:val="00FD56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D13BC5"/>
  <w15:chartTrackingRefBased/>
  <w15:docId w15:val="{AE0F5334-56C2-4296-8504-64BD4A0158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B2F50"/>
    <w:pPr>
      <w:spacing w:after="270" w:line="240" w:lineRule="auto"/>
    </w:pPr>
    <w:rPr>
      <w:rFonts w:ascii="Arial" w:eastAsia="MS Mincho" w:hAnsi="Arial" w:cs="Times New Roman"/>
      <w:color w:val="000000"/>
      <w:sz w:val="20"/>
      <w:szCs w:val="20"/>
    </w:rPr>
  </w:style>
  <w:style w:type="paragraph" w:styleId="Heading2">
    <w:name w:val="heading 2"/>
    <w:basedOn w:val="Normal"/>
    <w:next w:val="Normal"/>
    <w:link w:val="Heading2Char"/>
    <w:qFormat/>
    <w:rsid w:val="00D33009"/>
    <w:pPr>
      <w:keepNext/>
      <w:keepLines/>
      <w:spacing w:before="180" w:after="115"/>
      <w:outlineLvl w:val="1"/>
    </w:pPr>
    <w:rPr>
      <w:rFonts w:eastAsia="MS Gothic" w:cstheme="majorBidi"/>
      <w:bCs/>
      <w:color w:val="008170"/>
      <w:sz w:val="2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B2F50"/>
    <w:pPr>
      <w:tabs>
        <w:tab w:val="center" w:pos="4320"/>
        <w:tab w:val="right" w:pos="8640"/>
      </w:tabs>
      <w:spacing w:after="0"/>
    </w:pPr>
  </w:style>
  <w:style w:type="character" w:customStyle="1" w:styleId="HeaderChar">
    <w:name w:val="Header Char"/>
    <w:basedOn w:val="DefaultParagraphFont"/>
    <w:link w:val="Header"/>
    <w:uiPriority w:val="99"/>
    <w:rsid w:val="00DB2F50"/>
    <w:rPr>
      <w:rFonts w:ascii="Arial" w:eastAsia="MS Mincho" w:hAnsi="Arial" w:cs="Times New Roman"/>
      <w:color w:val="000000"/>
      <w:sz w:val="20"/>
      <w:szCs w:val="20"/>
    </w:rPr>
  </w:style>
  <w:style w:type="paragraph" w:styleId="Title">
    <w:name w:val="Title"/>
    <w:basedOn w:val="Normal"/>
    <w:next w:val="Normal"/>
    <w:link w:val="TitleChar"/>
    <w:qFormat/>
    <w:rsid w:val="00DB2F50"/>
    <w:pPr>
      <w:spacing w:before="576" w:after="180"/>
      <w:contextualSpacing/>
    </w:pPr>
    <w:rPr>
      <w:rFonts w:eastAsia="MS Gothic"/>
      <w:b/>
      <w:color w:val="003461"/>
      <w:spacing w:val="5"/>
      <w:kern w:val="28"/>
      <w:sz w:val="44"/>
      <w:szCs w:val="52"/>
    </w:rPr>
  </w:style>
  <w:style w:type="character" w:customStyle="1" w:styleId="TitleChar">
    <w:name w:val="Title Char"/>
    <w:basedOn w:val="DefaultParagraphFont"/>
    <w:link w:val="Title"/>
    <w:rsid w:val="00DB2F50"/>
    <w:rPr>
      <w:rFonts w:ascii="Arial" w:eastAsia="MS Gothic" w:hAnsi="Arial" w:cs="Times New Roman"/>
      <w:b/>
      <w:color w:val="003461"/>
      <w:spacing w:val="5"/>
      <w:kern w:val="28"/>
      <w:sz w:val="44"/>
      <w:szCs w:val="52"/>
    </w:rPr>
  </w:style>
  <w:style w:type="paragraph" w:customStyle="1" w:styleId="Default">
    <w:name w:val="Default"/>
    <w:rsid w:val="00DB2F50"/>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562884"/>
    <w:pPr>
      <w:spacing w:before="100" w:beforeAutospacing="1" w:after="100" w:afterAutospacing="1"/>
    </w:pPr>
    <w:rPr>
      <w:rFonts w:ascii="Times New Roman" w:eastAsia="Times New Roman" w:hAnsi="Times New Roman"/>
      <w:color w:val="auto"/>
      <w:sz w:val="24"/>
      <w:szCs w:val="24"/>
    </w:rPr>
  </w:style>
  <w:style w:type="paragraph" w:styleId="ListParagraph">
    <w:name w:val="List Paragraph"/>
    <w:basedOn w:val="Normal"/>
    <w:uiPriority w:val="34"/>
    <w:rsid w:val="00D33009"/>
    <w:pPr>
      <w:numPr>
        <w:numId w:val="1"/>
      </w:numPr>
      <w:spacing w:after="120"/>
    </w:pPr>
  </w:style>
  <w:style w:type="character" w:customStyle="1" w:styleId="Heading2Char">
    <w:name w:val="Heading 2 Char"/>
    <w:basedOn w:val="DefaultParagraphFont"/>
    <w:link w:val="Heading2"/>
    <w:rsid w:val="00D33009"/>
    <w:rPr>
      <w:rFonts w:ascii="Arial" w:eastAsia="MS Gothic" w:hAnsi="Arial" w:cstheme="majorBidi"/>
      <w:bCs/>
      <w:color w:val="008170"/>
      <w:sz w:val="28"/>
      <w:szCs w:val="26"/>
    </w:rPr>
  </w:style>
  <w:style w:type="paragraph" w:styleId="BalloonText">
    <w:name w:val="Balloon Text"/>
    <w:basedOn w:val="Normal"/>
    <w:link w:val="BalloonTextChar"/>
    <w:uiPriority w:val="99"/>
    <w:semiHidden/>
    <w:unhideWhenUsed/>
    <w:rsid w:val="00035725"/>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35725"/>
    <w:rPr>
      <w:rFonts w:ascii="Segoe UI" w:eastAsia="MS Mincho" w:hAnsi="Segoe UI" w:cs="Segoe UI"/>
      <w:color w:val="000000"/>
      <w:sz w:val="18"/>
      <w:szCs w:val="18"/>
    </w:rPr>
  </w:style>
  <w:style w:type="character" w:styleId="CommentReference">
    <w:name w:val="annotation reference"/>
    <w:basedOn w:val="DefaultParagraphFont"/>
    <w:uiPriority w:val="99"/>
    <w:semiHidden/>
    <w:unhideWhenUsed/>
    <w:rsid w:val="00035725"/>
    <w:rPr>
      <w:sz w:val="16"/>
      <w:szCs w:val="16"/>
    </w:rPr>
  </w:style>
  <w:style w:type="paragraph" w:styleId="CommentText">
    <w:name w:val="annotation text"/>
    <w:basedOn w:val="Normal"/>
    <w:link w:val="CommentTextChar"/>
    <w:uiPriority w:val="99"/>
    <w:semiHidden/>
    <w:unhideWhenUsed/>
    <w:rsid w:val="00035725"/>
  </w:style>
  <w:style w:type="character" w:customStyle="1" w:styleId="CommentTextChar">
    <w:name w:val="Comment Text Char"/>
    <w:basedOn w:val="DefaultParagraphFont"/>
    <w:link w:val="CommentText"/>
    <w:uiPriority w:val="99"/>
    <w:semiHidden/>
    <w:rsid w:val="00035725"/>
    <w:rPr>
      <w:rFonts w:ascii="Arial" w:eastAsia="MS Mincho" w:hAnsi="Arial"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035725"/>
    <w:rPr>
      <w:b/>
      <w:bCs/>
    </w:rPr>
  </w:style>
  <w:style w:type="character" w:customStyle="1" w:styleId="CommentSubjectChar">
    <w:name w:val="Comment Subject Char"/>
    <w:basedOn w:val="CommentTextChar"/>
    <w:link w:val="CommentSubject"/>
    <w:uiPriority w:val="99"/>
    <w:semiHidden/>
    <w:rsid w:val="00035725"/>
    <w:rPr>
      <w:rFonts w:ascii="Arial" w:eastAsia="MS Mincho" w:hAnsi="Arial" w:cs="Times New Roman"/>
      <w:b/>
      <w:bCs/>
      <w:color w:val="000000"/>
      <w:sz w:val="20"/>
      <w:szCs w:val="20"/>
    </w:rPr>
  </w:style>
  <w:style w:type="character" w:styleId="Hyperlink">
    <w:name w:val="Hyperlink"/>
    <w:basedOn w:val="DefaultParagraphFont"/>
    <w:uiPriority w:val="99"/>
    <w:unhideWhenUsed/>
    <w:rsid w:val="000F3DB4"/>
    <w:rPr>
      <w:color w:val="0563C1" w:themeColor="hyperlink"/>
      <w:u w:val="single"/>
    </w:rPr>
  </w:style>
  <w:style w:type="character" w:styleId="UnresolvedMention">
    <w:name w:val="Unresolved Mention"/>
    <w:basedOn w:val="DefaultParagraphFont"/>
    <w:uiPriority w:val="99"/>
    <w:semiHidden/>
    <w:unhideWhenUsed/>
    <w:rsid w:val="000F3DB4"/>
    <w:rPr>
      <w:color w:val="605E5C"/>
      <w:shd w:val="clear" w:color="auto" w:fill="E1DFDD"/>
    </w:rPr>
  </w:style>
  <w:style w:type="character" w:styleId="SubtleEmphasis">
    <w:name w:val="Subtle Emphasis"/>
    <w:basedOn w:val="DefaultParagraphFont"/>
    <w:uiPriority w:val="19"/>
    <w:qFormat/>
    <w:rsid w:val="00054C39"/>
    <w:rPr>
      <w:i/>
      <w:iCs/>
      <w:color w:val="404040" w:themeColor="text1" w:themeTint="BF"/>
    </w:rPr>
  </w:style>
  <w:style w:type="character" w:styleId="FollowedHyperlink">
    <w:name w:val="FollowedHyperlink"/>
    <w:basedOn w:val="DefaultParagraphFont"/>
    <w:uiPriority w:val="99"/>
    <w:semiHidden/>
    <w:unhideWhenUsed/>
    <w:rsid w:val="000E58C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7742390">
      <w:bodyDiv w:val="1"/>
      <w:marLeft w:val="0"/>
      <w:marRight w:val="0"/>
      <w:marTop w:val="0"/>
      <w:marBottom w:val="0"/>
      <w:divBdr>
        <w:top w:val="none" w:sz="0" w:space="0" w:color="auto"/>
        <w:left w:val="none" w:sz="0" w:space="0" w:color="auto"/>
        <w:bottom w:val="none" w:sz="0" w:space="0" w:color="auto"/>
        <w:right w:val="none" w:sz="0" w:space="0" w:color="auto"/>
      </w:divBdr>
      <w:divsChild>
        <w:div w:id="2138716084">
          <w:marLeft w:val="0"/>
          <w:marRight w:val="0"/>
          <w:marTop w:val="0"/>
          <w:marBottom w:val="0"/>
          <w:divBdr>
            <w:top w:val="none" w:sz="0" w:space="0" w:color="auto"/>
            <w:left w:val="none" w:sz="0" w:space="0" w:color="auto"/>
            <w:bottom w:val="none" w:sz="0" w:space="0" w:color="auto"/>
            <w:right w:val="none" w:sz="0" w:space="0" w:color="auto"/>
          </w:divBdr>
          <w:divsChild>
            <w:div w:id="512963834">
              <w:marLeft w:val="0"/>
              <w:marRight w:val="0"/>
              <w:marTop w:val="0"/>
              <w:marBottom w:val="0"/>
              <w:divBdr>
                <w:top w:val="none" w:sz="0" w:space="0" w:color="auto"/>
                <w:left w:val="none" w:sz="0" w:space="0" w:color="auto"/>
                <w:bottom w:val="none" w:sz="0" w:space="0" w:color="auto"/>
                <w:right w:val="none" w:sz="0" w:space="0" w:color="auto"/>
              </w:divBdr>
              <w:divsChild>
                <w:div w:id="920025628">
                  <w:marLeft w:val="0"/>
                  <w:marRight w:val="0"/>
                  <w:marTop w:val="0"/>
                  <w:marBottom w:val="0"/>
                  <w:divBdr>
                    <w:top w:val="none" w:sz="0" w:space="0" w:color="auto"/>
                    <w:left w:val="none" w:sz="0" w:space="0" w:color="auto"/>
                    <w:bottom w:val="none" w:sz="0" w:space="0" w:color="auto"/>
                    <w:right w:val="none" w:sz="0" w:space="0" w:color="auto"/>
                  </w:divBdr>
                  <w:divsChild>
                    <w:div w:id="1203404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080114">
      <w:bodyDiv w:val="1"/>
      <w:marLeft w:val="0"/>
      <w:marRight w:val="0"/>
      <w:marTop w:val="0"/>
      <w:marBottom w:val="0"/>
      <w:divBdr>
        <w:top w:val="none" w:sz="0" w:space="0" w:color="auto"/>
        <w:left w:val="none" w:sz="0" w:space="0" w:color="auto"/>
        <w:bottom w:val="none" w:sz="0" w:space="0" w:color="auto"/>
        <w:right w:val="none" w:sz="0" w:space="0" w:color="auto"/>
      </w:divBdr>
    </w:div>
    <w:div w:id="237790092">
      <w:bodyDiv w:val="1"/>
      <w:marLeft w:val="0"/>
      <w:marRight w:val="0"/>
      <w:marTop w:val="0"/>
      <w:marBottom w:val="0"/>
      <w:divBdr>
        <w:top w:val="none" w:sz="0" w:space="0" w:color="auto"/>
        <w:left w:val="none" w:sz="0" w:space="0" w:color="auto"/>
        <w:bottom w:val="none" w:sz="0" w:space="0" w:color="auto"/>
        <w:right w:val="none" w:sz="0" w:space="0" w:color="auto"/>
      </w:divBdr>
      <w:divsChild>
        <w:div w:id="1916816149">
          <w:marLeft w:val="0"/>
          <w:marRight w:val="0"/>
          <w:marTop w:val="0"/>
          <w:marBottom w:val="0"/>
          <w:divBdr>
            <w:top w:val="none" w:sz="0" w:space="0" w:color="auto"/>
            <w:left w:val="none" w:sz="0" w:space="0" w:color="auto"/>
            <w:bottom w:val="none" w:sz="0" w:space="0" w:color="auto"/>
            <w:right w:val="none" w:sz="0" w:space="0" w:color="auto"/>
          </w:divBdr>
          <w:divsChild>
            <w:div w:id="912736020">
              <w:marLeft w:val="0"/>
              <w:marRight w:val="0"/>
              <w:marTop w:val="0"/>
              <w:marBottom w:val="0"/>
              <w:divBdr>
                <w:top w:val="none" w:sz="0" w:space="0" w:color="auto"/>
                <w:left w:val="none" w:sz="0" w:space="0" w:color="auto"/>
                <w:bottom w:val="none" w:sz="0" w:space="0" w:color="auto"/>
                <w:right w:val="none" w:sz="0" w:space="0" w:color="auto"/>
              </w:divBdr>
              <w:divsChild>
                <w:div w:id="1996489019">
                  <w:marLeft w:val="0"/>
                  <w:marRight w:val="0"/>
                  <w:marTop w:val="0"/>
                  <w:marBottom w:val="0"/>
                  <w:divBdr>
                    <w:top w:val="none" w:sz="0" w:space="0" w:color="auto"/>
                    <w:left w:val="none" w:sz="0" w:space="0" w:color="auto"/>
                    <w:bottom w:val="none" w:sz="0" w:space="0" w:color="auto"/>
                    <w:right w:val="none" w:sz="0" w:space="0" w:color="auto"/>
                  </w:divBdr>
                  <w:divsChild>
                    <w:div w:id="57281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9964786">
      <w:bodyDiv w:val="1"/>
      <w:marLeft w:val="0"/>
      <w:marRight w:val="0"/>
      <w:marTop w:val="0"/>
      <w:marBottom w:val="0"/>
      <w:divBdr>
        <w:top w:val="none" w:sz="0" w:space="0" w:color="auto"/>
        <w:left w:val="none" w:sz="0" w:space="0" w:color="auto"/>
        <w:bottom w:val="none" w:sz="0" w:space="0" w:color="auto"/>
        <w:right w:val="none" w:sz="0" w:space="0" w:color="auto"/>
      </w:divBdr>
    </w:div>
    <w:div w:id="496191428">
      <w:bodyDiv w:val="1"/>
      <w:marLeft w:val="0"/>
      <w:marRight w:val="0"/>
      <w:marTop w:val="0"/>
      <w:marBottom w:val="0"/>
      <w:divBdr>
        <w:top w:val="none" w:sz="0" w:space="0" w:color="auto"/>
        <w:left w:val="none" w:sz="0" w:space="0" w:color="auto"/>
        <w:bottom w:val="none" w:sz="0" w:space="0" w:color="auto"/>
        <w:right w:val="none" w:sz="0" w:space="0" w:color="auto"/>
      </w:divBdr>
    </w:div>
    <w:div w:id="687870142">
      <w:bodyDiv w:val="1"/>
      <w:marLeft w:val="0"/>
      <w:marRight w:val="0"/>
      <w:marTop w:val="0"/>
      <w:marBottom w:val="0"/>
      <w:divBdr>
        <w:top w:val="none" w:sz="0" w:space="0" w:color="auto"/>
        <w:left w:val="none" w:sz="0" w:space="0" w:color="auto"/>
        <w:bottom w:val="none" w:sz="0" w:space="0" w:color="auto"/>
        <w:right w:val="none" w:sz="0" w:space="0" w:color="auto"/>
      </w:divBdr>
    </w:div>
    <w:div w:id="1019157473">
      <w:bodyDiv w:val="1"/>
      <w:marLeft w:val="0"/>
      <w:marRight w:val="0"/>
      <w:marTop w:val="0"/>
      <w:marBottom w:val="0"/>
      <w:divBdr>
        <w:top w:val="none" w:sz="0" w:space="0" w:color="auto"/>
        <w:left w:val="none" w:sz="0" w:space="0" w:color="auto"/>
        <w:bottom w:val="none" w:sz="0" w:space="0" w:color="auto"/>
        <w:right w:val="none" w:sz="0" w:space="0" w:color="auto"/>
      </w:divBdr>
      <w:divsChild>
        <w:div w:id="1732192874">
          <w:marLeft w:val="0"/>
          <w:marRight w:val="0"/>
          <w:marTop w:val="0"/>
          <w:marBottom w:val="0"/>
          <w:divBdr>
            <w:top w:val="single" w:sz="2" w:space="0" w:color="000000"/>
            <w:left w:val="single" w:sz="2" w:space="0" w:color="000000"/>
            <w:bottom w:val="single" w:sz="2" w:space="0" w:color="000000"/>
            <w:right w:val="single" w:sz="2" w:space="0" w:color="000000"/>
          </w:divBdr>
        </w:div>
        <w:div w:id="1144349027">
          <w:marLeft w:val="0"/>
          <w:marRight w:val="0"/>
          <w:marTop w:val="0"/>
          <w:marBottom w:val="0"/>
          <w:divBdr>
            <w:top w:val="single" w:sz="2" w:space="0" w:color="000000"/>
            <w:left w:val="single" w:sz="2" w:space="0" w:color="000000"/>
            <w:bottom w:val="single" w:sz="2" w:space="0" w:color="000000"/>
            <w:right w:val="single" w:sz="2" w:space="0" w:color="000000"/>
          </w:divBdr>
        </w:div>
        <w:div w:id="733429496">
          <w:marLeft w:val="0"/>
          <w:marRight w:val="0"/>
          <w:marTop w:val="0"/>
          <w:marBottom w:val="0"/>
          <w:divBdr>
            <w:top w:val="single" w:sz="2" w:space="0" w:color="000000"/>
            <w:left w:val="single" w:sz="2" w:space="0" w:color="000000"/>
            <w:bottom w:val="single" w:sz="2" w:space="0" w:color="000000"/>
            <w:right w:val="single" w:sz="2" w:space="0" w:color="000000"/>
          </w:divBdr>
        </w:div>
      </w:divsChild>
    </w:div>
    <w:div w:id="1119640343">
      <w:bodyDiv w:val="1"/>
      <w:marLeft w:val="0"/>
      <w:marRight w:val="0"/>
      <w:marTop w:val="0"/>
      <w:marBottom w:val="0"/>
      <w:divBdr>
        <w:top w:val="none" w:sz="0" w:space="0" w:color="auto"/>
        <w:left w:val="none" w:sz="0" w:space="0" w:color="auto"/>
        <w:bottom w:val="none" w:sz="0" w:space="0" w:color="auto"/>
        <w:right w:val="none" w:sz="0" w:space="0" w:color="auto"/>
      </w:divBdr>
    </w:div>
    <w:div w:id="1299191917">
      <w:bodyDiv w:val="1"/>
      <w:marLeft w:val="0"/>
      <w:marRight w:val="0"/>
      <w:marTop w:val="0"/>
      <w:marBottom w:val="0"/>
      <w:divBdr>
        <w:top w:val="none" w:sz="0" w:space="0" w:color="auto"/>
        <w:left w:val="none" w:sz="0" w:space="0" w:color="auto"/>
        <w:bottom w:val="none" w:sz="0" w:space="0" w:color="auto"/>
        <w:right w:val="none" w:sz="0" w:space="0" w:color="auto"/>
      </w:divBdr>
    </w:div>
    <w:div w:id="1454444102">
      <w:bodyDiv w:val="1"/>
      <w:marLeft w:val="0"/>
      <w:marRight w:val="0"/>
      <w:marTop w:val="0"/>
      <w:marBottom w:val="0"/>
      <w:divBdr>
        <w:top w:val="none" w:sz="0" w:space="0" w:color="auto"/>
        <w:left w:val="none" w:sz="0" w:space="0" w:color="auto"/>
        <w:bottom w:val="none" w:sz="0" w:space="0" w:color="auto"/>
        <w:right w:val="none" w:sz="0" w:space="0" w:color="auto"/>
      </w:divBdr>
    </w:div>
    <w:div w:id="1786581286">
      <w:bodyDiv w:val="1"/>
      <w:marLeft w:val="0"/>
      <w:marRight w:val="0"/>
      <w:marTop w:val="0"/>
      <w:marBottom w:val="0"/>
      <w:divBdr>
        <w:top w:val="none" w:sz="0" w:space="0" w:color="auto"/>
        <w:left w:val="none" w:sz="0" w:space="0" w:color="auto"/>
        <w:bottom w:val="none" w:sz="0" w:space="0" w:color="auto"/>
        <w:right w:val="none" w:sz="0" w:space="0" w:color="auto"/>
      </w:divBdr>
    </w:div>
    <w:div w:id="1868373998">
      <w:bodyDiv w:val="1"/>
      <w:marLeft w:val="0"/>
      <w:marRight w:val="0"/>
      <w:marTop w:val="0"/>
      <w:marBottom w:val="0"/>
      <w:divBdr>
        <w:top w:val="none" w:sz="0" w:space="0" w:color="auto"/>
        <w:left w:val="none" w:sz="0" w:space="0" w:color="auto"/>
        <w:bottom w:val="none" w:sz="0" w:space="0" w:color="auto"/>
        <w:right w:val="none" w:sz="0" w:space="0" w:color="auto"/>
      </w:divBdr>
      <w:divsChild>
        <w:div w:id="1768764816">
          <w:marLeft w:val="0"/>
          <w:marRight w:val="0"/>
          <w:marTop w:val="0"/>
          <w:marBottom w:val="0"/>
          <w:divBdr>
            <w:top w:val="single" w:sz="2" w:space="0" w:color="000000"/>
            <w:left w:val="single" w:sz="2" w:space="0" w:color="000000"/>
            <w:bottom w:val="single" w:sz="2" w:space="0" w:color="000000"/>
            <w:right w:val="single" w:sz="2" w:space="0" w:color="000000"/>
          </w:divBdr>
        </w:div>
        <w:div w:id="1766536173">
          <w:marLeft w:val="0"/>
          <w:marRight w:val="0"/>
          <w:marTop w:val="0"/>
          <w:marBottom w:val="0"/>
          <w:divBdr>
            <w:top w:val="single" w:sz="2" w:space="0" w:color="000000"/>
            <w:left w:val="single" w:sz="2" w:space="0" w:color="000000"/>
            <w:bottom w:val="single" w:sz="2" w:space="0" w:color="000000"/>
            <w:right w:val="single" w:sz="2" w:space="0" w:color="000000"/>
          </w:divBdr>
        </w:div>
        <w:div w:id="772940722">
          <w:marLeft w:val="0"/>
          <w:marRight w:val="0"/>
          <w:marTop w:val="0"/>
          <w:marBottom w:val="0"/>
          <w:divBdr>
            <w:top w:val="single" w:sz="2" w:space="0" w:color="000000"/>
            <w:left w:val="single" w:sz="2" w:space="0" w:color="000000"/>
            <w:bottom w:val="single" w:sz="2" w:space="0" w:color="000000"/>
            <w:right w:val="single" w:sz="2" w:space="0" w:color="000000"/>
          </w:divBdr>
        </w:div>
      </w:divsChild>
    </w:div>
    <w:div w:id="1974869256">
      <w:bodyDiv w:val="1"/>
      <w:marLeft w:val="0"/>
      <w:marRight w:val="0"/>
      <w:marTop w:val="0"/>
      <w:marBottom w:val="0"/>
      <w:divBdr>
        <w:top w:val="none" w:sz="0" w:space="0" w:color="auto"/>
        <w:left w:val="none" w:sz="0" w:space="0" w:color="auto"/>
        <w:bottom w:val="none" w:sz="0" w:space="0" w:color="auto"/>
        <w:right w:val="none" w:sz="0" w:space="0" w:color="auto"/>
      </w:divBdr>
    </w:div>
    <w:div w:id="1994406191">
      <w:bodyDiv w:val="1"/>
      <w:marLeft w:val="0"/>
      <w:marRight w:val="0"/>
      <w:marTop w:val="0"/>
      <w:marBottom w:val="0"/>
      <w:divBdr>
        <w:top w:val="none" w:sz="0" w:space="0" w:color="auto"/>
        <w:left w:val="none" w:sz="0" w:space="0" w:color="auto"/>
        <w:bottom w:val="none" w:sz="0" w:space="0" w:color="auto"/>
        <w:right w:val="none" w:sz="0" w:space="0" w:color="auto"/>
      </w:divBdr>
      <w:divsChild>
        <w:div w:id="1503426949">
          <w:marLeft w:val="0"/>
          <w:marRight w:val="0"/>
          <w:marTop w:val="0"/>
          <w:marBottom w:val="0"/>
          <w:divBdr>
            <w:top w:val="single" w:sz="2" w:space="0" w:color="000000"/>
            <w:left w:val="single" w:sz="2" w:space="0" w:color="000000"/>
            <w:bottom w:val="single" w:sz="2" w:space="0" w:color="000000"/>
            <w:right w:val="single" w:sz="2" w:space="0" w:color="000000"/>
          </w:divBdr>
        </w:div>
        <w:div w:id="162942650">
          <w:marLeft w:val="0"/>
          <w:marRight w:val="0"/>
          <w:marTop w:val="0"/>
          <w:marBottom w:val="0"/>
          <w:divBdr>
            <w:top w:val="single" w:sz="2" w:space="0" w:color="000000"/>
            <w:left w:val="single" w:sz="2" w:space="0" w:color="000000"/>
            <w:bottom w:val="single" w:sz="2" w:space="0" w:color="000000"/>
            <w:right w:val="single" w:sz="2" w:space="0" w:color="000000"/>
          </w:divBdr>
        </w:div>
        <w:div w:id="1592424166">
          <w:marLeft w:val="0"/>
          <w:marRight w:val="0"/>
          <w:marTop w:val="0"/>
          <w:marBottom w:val="0"/>
          <w:divBdr>
            <w:top w:val="single" w:sz="2" w:space="0" w:color="000000"/>
            <w:left w:val="single" w:sz="2" w:space="0" w:color="000000"/>
            <w:bottom w:val="single" w:sz="2" w:space="0" w:color="000000"/>
            <w:right w:val="single" w:sz="2" w:space="0" w:color="000000"/>
          </w:divBdr>
        </w:div>
      </w:divsChild>
    </w:div>
    <w:div w:id="20822852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x.com/urbaninstitute" TargetMode="External"/><Relationship Id="rId18" Type="http://schemas.openxmlformats.org/officeDocument/2006/relationships/hyperlink" Target="https://www.macpac.gov/publication/june-2022-report-to-congress-on-medicaid-and-chip/"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hyperlink" Target="https://x.com/OHAOregon" TargetMode="External"/><Relationship Id="rId17" Type="http://schemas.openxmlformats.org/officeDocument/2006/relationships/hyperlink" Target="https://www.macpac.gov/publication/access-in-brief-children-and-youth-with-special-health-care-needs-2/" TargetMode="Externa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www.macpac.gov/publication/transitions-of-coverage-and-care-for-children-and-youth-with-special-health-care-needs/" TargetMode="External"/><Relationship Id="rId20" Type="http://schemas.openxmlformats.org/officeDocument/2006/relationships/hyperlink" Target="https://www.macpac.gov/publication/directed-payments-in-medicaid-managed-car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x.com/ManattHealth"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hyperlink" Target="https://www.macpac.gov/publication/directed-payments-in-medicaid-managed-care/"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image" Target="media/image7.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0B4758-81F6-46D3-A03A-AB4BA8DEAC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1598</Words>
  <Characters>9114</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Melissa Schober</dc:creator>
  <cp:keywords/>
  <dc:description/>
  <cp:lastModifiedBy>Caroline Broder</cp:lastModifiedBy>
  <cp:revision>2</cp:revision>
  <cp:lastPrinted>2024-10-29T15:39:00Z</cp:lastPrinted>
  <dcterms:created xsi:type="dcterms:W3CDTF">2024-10-29T19:22:00Z</dcterms:created>
  <dcterms:modified xsi:type="dcterms:W3CDTF">2024-10-29T19:22:00Z</dcterms:modified>
</cp:coreProperties>
</file>